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utlineLvl w:val="0"/>
        <w:rPr>
          <w:rFonts w:asciiTheme="minorHAnsi" w:hAnsiTheme="minorHAnsi" w:cs="Arial"/>
          <w:color w:val="0000FF"/>
          <w:sz w:val="24"/>
          <w:szCs w:val="24"/>
        </w:rPr>
      </w:pPr>
      <w:r>
        <w:rPr>
          <w:rFonts w:asciiTheme="minorHAnsi" w:hAnsiTheme="minorHAnsi" w:cs="Arial"/>
          <w:b/>
          <w:color w:val="000000"/>
          <w:sz w:val="24"/>
          <w:szCs w:val="24"/>
        </w:rPr>
        <w:t>Determined:</w:t>
      </w:r>
      <w:r>
        <w:rPr>
          <w:rFonts w:asciiTheme="minorHAnsi" w:hAnsiTheme="minorHAnsi" w:cs="Arial"/>
          <w:color w:val="000000"/>
          <w:sz w:val="24"/>
          <w:szCs w:val="24"/>
        </w:rPr>
        <w:t xml:space="preserve"> Birmingham School Admission Criteria September 2022</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123"/>
        <w:gridCol w:w="3184"/>
        <w:gridCol w:w="1347"/>
        <w:gridCol w:w="2256"/>
      </w:tblGrid>
      <w:tr>
        <w:tc>
          <w:tcPr>
            <w:tcW w:w="1191" w:type="pct"/>
          </w:tcPr>
          <w:p>
            <w:pPr>
              <w:jc w:val="right"/>
              <w:rPr>
                <w:rFonts w:asciiTheme="minorHAnsi" w:hAnsiTheme="minorHAnsi" w:cs="Arial"/>
                <w:color w:val="000000"/>
                <w:sz w:val="24"/>
                <w:szCs w:val="24"/>
              </w:rPr>
            </w:pPr>
            <w:r>
              <w:rPr>
                <w:rFonts w:asciiTheme="minorHAnsi" w:hAnsiTheme="minorHAnsi" w:cs="Arial"/>
                <w:color w:val="000000"/>
                <w:sz w:val="24"/>
                <w:szCs w:val="24"/>
              </w:rPr>
              <w:t>School name</w:t>
            </w:r>
          </w:p>
        </w:tc>
        <w:tc>
          <w:tcPr>
            <w:tcW w:w="3809" w:type="pct"/>
            <w:gridSpan w:val="3"/>
          </w:tcPr>
          <w:p>
            <w:pPr>
              <w:rPr>
                <w:rFonts w:asciiTheme="minorHAnsi" w:hAnsiTheme="minorHAnsi" w:cs="Arial"/>
                <w:color w:val="000000"/>
                <w:sz w:val="24"/>
                <w:szCs w:val="24"/>
              </w:rPr>
            </w:pPr>
            <w:bookmarkStart w:id="0" w:name="Fairfax"/>
            <w:r>
              <w:rPr>
                <w:rFonts w:asciiTheme="minorHAnsi" w:hAnsiTheme="minorHAnsi" w:cs="Arial"/>
                <w:b/>
                <w:bCs/>
                <w:color w:val="000000"/>
                <w:sz w:val="24"/>
                <w:szCs w:val="24"/>
              </w:rPr>
              <w:t>Fairfax</w:t>
            </w:r>
            <w:bookmarkEnd w:id="0"/>
          </w:p>
        </w:tc>
      </w:tr>
      <w:tr>
        <w:tc>
          <w:tcPr>
            <w:tcW w:w="1191" w:type="pct"/>
          </w:tcPr>
          <w:p>
            <w:pPr>
              <w:jc w:val="right"/>
              <w:rPr>
                <w:rFonts w:asciiTheme="minorHAnsi" w:hAnsiTheme="minorHAnsi" w:cs="Arial"/>
                <w:color w:val="000000"/>
                <w:sz w:val="24"/>
                <w:szCs w:val="24"/>
              </w:rPr>
            </w:pPr>
            <w:r>
              <w:rPr>
                <w:rFonts w:asciiTheme="minorHAnsi" w:hAnsiTheme="minorHAnsi" w:cs="Arial"/>
                <w:color w:val="000000"/>
                <w:sz w:val="24"/>
                <w:szCs w:val="24"/>
              </w:rPr>
              <w:t>School address</w:t>
            </w:r>
          </w:p>
        </w:tc>
        <w:tc>
          <w:tcPr>
            <w:tcW w:w="3809" w:type="pct"/>
            <w:gridSpan w:val="3"/>
          </w:tcPr>
          <w:p>
            <w:pPr>
              <w:rPr>
                <w:rFonts w:asciiTheme="minorHAnsi" w:hAnsiTheme="minorHAnsi" w:cs="Arial"/>
                <w:color w:val="000000"/>
                <w:sz w:val="24"/>
                <w:szCs w:val="24"/>
              </w:rPr>
            </w:pPr>
            <w:r>
              <w:rPr>
                <w:rFonts w:asciiTheme="minorHAnsi" w:hAnsiTheme="minorHAnsi" w:cs="Arial"/>
                <w:color w:val="000000"/>
                <w:sz w:val="24"/>
                <w:szCs w:val="24"/>
              </w:rPr>
              <w:t>Fairfax Road, Sutton Coldfield, B75 7JT</w:t>
            </w:r>
          </w:p>
        </w:tc>
      </w:tr>
      <w:tr>
        <w:tc>
          <w:tcPr>
            <w:tcW w:w="1191" w:type="pct"/>
          </w:tcPr>
          <w:p>
            <w:pPr>
              <w:jc w:val="right"/>
              <w:rPr>
                <w:rFonts w:asciiTheme="minorHAnsi" w:hAnsiTheme="minorHAnsi" w:cs="Arial"/>
                <w:color w:val="000000"/>
                <w:sz w:val="24"/>
                <w:szCs w:val="24"/>
              </w:rPr>
            </w:pPr>
            <w:r>
              <w:rPr>
                <w:rFonts w:asciiTheme="minorHAnsi" w:hAnsiTheme="minorHAnsi" w:cs="Arial"/>
                <w:color w:val="000000"/>
                <w:sz w:val="24"/>
                <w:szCs w:val="24"/>
              </w:rPr>
              <w:t>Headteacher</w:t>
            </w:r>
          </w:p>
        </w:tc>
        <w:tc>
          <w:tcPr>
            <w:tcW w:w="1787" w:type="pct"/>
          </w:tcPr>
          <w:p>
            <w:pPr>
              <w:rPr>
                <w:rFonts w:asciiTheme="minorHAnsi" w:hAnsiTheme="minorHAnsi" w:cs="Arial"/>
                <w:color w:val="000000"/>
                <w:sz w:val="24"/>
                <w:szCs w:val="24"/>
              </w:rPr>
            </w:pPr>
            <w:r>
              <w:rPr>
                <w:rFonts w:asciiTheme="minorHAnsi" w:hAnsiTheme="minorHAnsi" w:cs="Arial"/>
                <w:color w:val="000000"/>
                <w:sz w:val="24"/>
                <w:szCs w:val="24"/>
                <w:lang w:eastAsia="en-GB"/>
              </w:rPr>
              <w:t>Mrs Deborah Bunn</w:t>
            </w:r>
          </w:p>
        </w:tc>
        <w:tc>
          <w:tcPr>
            <w:tcW w:w="756" w:type="pct"/>
          </w:tcPr>
          <w:p>
            <w:pPr>
              <w:jc w:val="right"/>
              <w:rPr>
                <w:rFonts w:asciiTheme="minorHAnsi" w:hAnsiTheme="minorHAnsi" w:cs="Arial"/>
                <w:color w:val="000000"/>
                <w:sz w:val="24"/>
                <w:szCs w:val="24"/>
              </w:rPr>
            </w:pPr>
            <w:r>
              <w:rPr>
                <w:rFonts w:asciiTheme="minorHAnsi" w:hAnsiTheme="minorHAnsi" w:cs="Arial"/>
                <w:color w:val="000000"/>
                <w:sz w:val="24"/>
                <w:szCs w:val="24"/>
              </w:rPr>
              <w:t>Tel no:</w:t>
            </w:r>
          </w:p>
        </w:tc>
        <w:tc>
          <w:tcPr>
            <w:tcW w:w="1266" w:type="pct"/>
          </w:tcPr>
          <w:p>
            <w:pPr>
              <w:rPr>
                <w:rFonts w:asciiTheme="minorHAnsi" w:hAnsiTheme="minorHAnsi" w:cs="Arial"/>
                <w:color w:val="000000"/>
                <w:sz w:val="24"/>
                <w:szCs w:val="24"/>
              </w:rPr>
            </w:pPr>
            <w:r>
              <w:rPr>
                <w:rFonts w:asciiTheme="minorHAnsi" w:hAnsiTheme="minorHAnsi" w:cs="Arial"/>
                <w:color w:val="000000"/>
                <w:sz w:val="24"/>
                <w:szCs w:val="24"/>
              </w:rPr>
              <w:t xml:space="preserve">0121 </w:t>
            </w:r>
            <w:r>
              <w:rPr>
                <w:rFonts w:asciiTheme="minorHAnsi" w:hAnsiTheme="minorHAnsi" w:cs="Arial"/>
                <w:color w:val="000000"/>
                <w:sz w:val="24"/>
                <w:szCs w:val="24"/>
                <w:lang w:eastAsia="en-GB"/>
              </w:rPr>
              <w:t>378 1288</w:t>
            </w:r>
          </w:p>
        </w:tc>
      </w:tr>
      <w:tr>
        <w:tc>
          <w:tcPr>
            <w:tcW w:w="1191" w:type="pct"/>
          </w:tcPr>
          <w:p>
            <w:pPr>
              <w:jc w:val="right"/>
              <w:rPr>
                <w:rFonts w:asciiTheme="minorHAnsi" w:hAnsiTheme="minorHAnsi" w:cs="Arial"/>
                <w:color w:val="000000"/>
                <w:sz w:val="24"/>
                <w:szCs w:val="24"/>
              </w:rPr>
            </w:pPr>
            <w:r>
              <w:rPr>
                <w:rFonts w:asciiTheme="minorHAnsi" w:hAnsiTheme="minorHAnsi" w:cs="Arial"/>
                <w:color w:val="000000"/>
                <w:sz w:val="24"/>
                <w:szCs w:val="24"/>
              </w:rPr>
              <w:t>Admission Number</w:t>
            </w:r>
          </w:p>
        </w:tc>
        <w:tc>
          <w:tcPr>
            <w:tcW w:w="3809" w:type="pct"/>
            <w:gridSpan w:val="3"/>
          </w:tcPr>
          <w:p>
            <w:pPr>
              <w:rPr>
                <w:rFonts w:asciiTheme="minorHAnsi" w:hAnsiTheme="minorHAnsi" w:cs="Arial"/>
                <w:color w:val="000000"/>
                <w:sz w:val="24"/>
                <w:szCs w:val="24"/>
              </w:rPr>
            </w:pPr>
            <w:r>
              <w:rPr>
                <w:rFonts w:asciiTheme="minorHAnsi" w:hAnsiTheme="minorHAnsi" w:cs="Arial"/>
                <w:color w:val="000000"/>
                <w:sz w:val="24"/>
                <w:szCs w:val="24"/>
              </w:rPr>
              <w:t>264</w:t>
            </w:r>
          </w:p>
        </w:tc>
      </w:tr>
    </w:tbl>
    <w:p>
      <w:pPr>
        <w:rPr>
          <w:rFonts w:asciiTheme="minorHAnsi" w:hAnsiTheme="minorHAnsi" w:cs="Arial"/>
          <w:color w:val="000000"/>
          <w:sz w:val="24"/>
          <w:szCs w:val="24"/>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70"/>
        <w:gridCol w:w="6761"/>
      </w:tblGrid>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bCs/>
                <w:color w:val="000000"/>
                <w:sz w:val="24"/>
                <w:szCs w:val="24"/>
                <w:lang w:eastAsia="en-GB"/>
              </w:rPr>
              <w:t>Admissions Policy statement</w:t>
            </w:r>
          </w:p>
        </w:tc>
        <w:tc>
          <w:tcPr>
            <w:tcW w:w="3785" w:type="pct"/>
          </w:tcPr>
          <w:p>
            <w:pPr>
              <w:rPr>
                <w:rFonts w:asciiTheme="minorHAnsi" w:hAnsiTheme="minorHAnsi" w:cs="Arial"/>
                <w:b/>
                <w:sz w:val="24"/>
                <w:szCs w:val="24"/>
              </w:rPr>
            </w:pPr>
            <w:r>
              <w:rPr>
                <w:rFonts w:asciiTheme="minorHAnsi" w:hAnsiTheme="minorHAnsi" w:cs="Arial"/>
                <w:color w:val="000000"/>
                <w:sz w:val="24"/>
                <w:szCs w:val="24"/>
              </w:rPr>
              <w:t xml:space="preserve">Fairfax Academy has a strong tradition in promoting the Performing Arts through its Annual Eisteddfod Festival. For September 2022 intake, students can opt to sit an aptitude assessment for admission to Fairfax Academy. The assessment will test aptitude in The Performing Arts: </w:t>
            </w:r>
            <w:r>
              <w:rPr>
                <w:rFonts w:asciiTheme="minorHAnsi" w:hAnsiTheme="minorHAnsi" w:cs="Arial"/>
                <w:b/>
                <w:sz w:val="24"/>
                <w:szCs w:val="24"/>
              </w:rPr>
              <w:t>Dance, Drama or Music.</w:t>
            </w:r>
          </w:p>
          <w:p>
            <w:pPr>
              <w:rPr>
                <w:rFonts w:asciiTheme="minorHAnsi" w:hAnsiTheme="minorHAnsi" w:cs="Arial"/>
                <w:b/>
                <w:sz w:val="24"/>
                <w:szCs w:val="24"/>
              </w:rPr>
            </w:pPr>
            <w:r>
              <w:rPr>
                <w:rFonts w:asciiTheme="minorHAnsi" w:hAnsiTheme="minorHAnsi" w:cs="Arial"/>
                <w:sz w:val="24"/>
                <w:szCs w:val="24"/>
              </w:rPr>
              <w:t xml:space="preserve">Applicants who wish to be considered for a place under the aptitude assessment will be required to complete an “Optional Assessment Test - Application Form” and indicate the school as a preference on the Local Authority Preference Form. These aptitude assessments will take place on </w:t>
            </w:r>
            <w:r>
              <w:rPr>
                <w:rFonts w:asciiTheme="minorHAnsi" w:hAnsiTheme="minorHAnsi" w:cs="Arial"/>
                <w:b/>
                <w:sz w:val="24"/>
                <w:szCs w:val="24"/>
              </w:rPr>
              <w:t>Wednesday 13 October 2021</w:t>
            </w:r>
          </w:p>
          <w:p>
            <w:pPr>
              <w:rPr>
                <w:rFonts w:asciiTheme="minorHAnsi" w:hAnsiTheme="minorHAnsi" w:cs="Arial"/>
                <w:color w:val="000000"/>
                <w:sz w:val="24"/>
                <w:szCs w:val="24"/>
              </w:rPr>
            </w:pPr>
            <w:r>
              <w:rPr>
                <w:rFonts w:asciiTheme="minorHAnsi" w:hAnsiTheme="minorHAnsi" w:cs="Arial"/>
                <w:color w:val="000000"/>
                <w:sz w:val="24"/>
                <w:szCs w:val="24"/>
              </w:rPr>
              <w:t>Up to 26 places (10% of 264) will be offered to students in descending order by aptitude test score to applicants with more than 20 points (From a possible 40).</w:t>
            </w:r>
          </w:p>
          <w:p>
            <w:pPr>
              <w:rPr>
                <w:rFonts w:asciiTheme="minorHAnsi" w:hAnsiTheme="minorHAnsi" w:cs="Arial"/>
                <w:color w:val="000000"/>
                <w:sz w:val="24"/>
                <w:szCs w:val="24"/>
              </w:rPr>
            </w:pPr>
            <w:bookmarkStart w:id="1" w:name="_Hlk45546015"/>
            <w:r>
              <w:rPr>
                <w:rFonts w:asciiTheme="minorHAnsi" w:hAnsiTheme="minorHAnsi" w:cs="Arial"/>
                <w:color w:val="000000"/>
                <w:sz w:val="24"/>
                <w:szCs w:val="24"/>
              </w:rPr>
              <w:t>All remaining places will be allocated on the criteria of:</w:t>
            </w:r>
            <w:bookmarkEnd w:id="1"/>
          </w:p>
        </w:tc>
      </w:tr>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bCs/>
                <w:color w:val="000000"/>
                <w:sz w:val="24"/>
                <w:szCs w:val="24"/>
                <w:lang w:eastAsia="en-GB"/>
              </w:rPr>
              <w:t>Criteria</w:t>
            </w:r>
          </w:p>
        </w:tc>
        <w:tc>
          <w:tcPr>
            <w:tcW w:w="3785" w:type="pct"/>
          </w:tcPr>
          <w:p>
            <w:pPr>
              <w:numPr>
                <w:ilvl w:val="0"/>
                <w:numId w:val="2"/>
              </w:numPr>
              <w:spacing w:after="0" w:line="240" w:lineRule="auto"/>
              <w:rPr>
                <w:rFonts w:asciiTheme="minorHAnsi" w:hAnsiTheme="minorHAnsi" w:cs="Arial"/>
                <w:color w:val="000000"/>
                <w:sz w:val="24"/>
                <w:szCs w:val="24"/>
              </w:rPr>
            </w:pPr>
            <w:r>
              <w:rPr>
                <w:rFonts w:asciiTheme="minorHAnsi" w:hAnsiTheme="minorHAnsi" w:cs="Arial"/>
                <w:color w:val="000000"/>
                <w:sz w:val="24"/>
                <w:szCs w:val="24"/>
              </w:rPr>
              <w:t>Priority goes to looked after and/or previously looked after children.</w:t>
            </w:r>
          </w:p>
        </w:tc>
      </w:tr>
      <w:tr>
        <w:tc>
          <w:tcPr>
            <w:tcW w:w="1215" w:type="pct"/>
          </w:tcPr>
          <w:p>
            <w:pPr>
              <w:jc w:val="right"/>
              <w:rPr>
                <w:rFonts w:asciiTheme="minorHAnsi" w:hAnsiTheme="minorHAnsi" w:cs="Arial"/>
                <w:b/>
                <w:bCs/>
                <w:color w:val="000000"/>
                <w:sz w:val="24"/>
                <w:szCs w:val="24"/>
                <w:lang w:eastAsia="en-GB"/>
              </w:rPr>
            </w:pPr>
          </w:p>
        </w:tc>
        <w:tc>
          <w:tcPr>
            <w:tcW w:w="3785" w:type="pct"/>
          </w:tcPr>
          <w:p>
            <w:pPr>
              <w:numPr>
                <w:ilvl w:val="0"/>
                <w:numId w:val="2"/>
              </w:numPr>
              <w:spacing w:after="0" w:line="240" w:lineRule="auto"/>
              <w:rPr>
                <w:rFonts w:asciiTheme="minorHAnsi" w:hAnsiTheme="minorHAnsi" w:cs="Arial"/>
                <w:color w:val="000000"/>
                <w:sz w:val="24"/>
                <w:szCs w:val="24"/>
              </w:rPr>
            </w:pPr>
            <w:r>
              <w:rPr>
                <w:rFonts w:asciiTheme="minorHAnsi" w:hAnsiTheme="minorHAnsi" w:cs="Arial"/>
                <w:color w:val="000000" w:themeColor="text1"/>
                <w:sz w:val="24"/>
                <w:szCs w:val="24"/>
              </w:rPr>
              <w:t>Secondly, those with a brother or sister already attending the school in years 7-10 and those with a brother or sister already in year 12 will be given priority.  The Local Authority’s sibling/shared responsibility definitions have been adopted.</w:t>
            </w:r>
          </w:p>
        </w:tc>
      </w:tr>
      <w:tr>
        <w:tc>
          <w:tcPr>
            <w:tcW w:w="1215" w:type="pct"/>
          </w:tcPr>
          <w:p>
            <w:pPr>
              <w:jc w:val="right"/>
              <w:rPr>
                <w:rFonts w:asciiTheme="minorHAnsi" w:hAnsiTheme="minorHAnsi" w:cs="Arial"/>
                <w:b/>
                <w:bCs/>
                <w:color w:val="000000"/>
                <w:sz w:val="24"/>
                <w:szCs w:val="24"/>
                <w:lang w:eastAsia="en-GB"/>
              </w:rPr>
            </w:pPr>
          </w:p>
        </w:tc>
        <w:tc>
          <w:tcPr>
            <w:tcW w:w="3785" w:type="pct"/>
          </w:tcPr>
          <w:p>
            <w:pPr>
              <w:numPr>
                <w:ilvl w:val="0"/>
                <w:numId w:val="2"/>
              </w:num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After this, admission is made according to the proximity of the child’s home to the school, with those living nearest being accorded the highest priority.  This calculation is made on the basis of a </w:t>
            </w:r>
            <w:proofErr w:type="gramStart"/>
            <w:r>
              <w:rPr>
                <w:rFonts w:asciiTheme="minorHAnsi" w:hAnsiTheme="minorHAnsi" w:cs="Arial"/>
                <w:color w:val="000000"/>
                <w:sz w:val="24"/>
                <w:szCs w:val="24"/>
              </w:rPr>
              <w:t>straight line</w:t>
            </w:r>
            <w:proofErr w:type="gramEnd"/>
            <w:r>
              <w:rPr>
                <w:rFonts w:asciiTheme="minorHAnsi" w:hAnsiTheme="minorHAnsi" w:cs="Arial"/>
                <w:color w:val="000000"/>
                <w:sz w:val="24"/>
                <w:szCs w:val="24"/>
              </w:rPr>
              <w:t xml:space="preserve"> measurement between the house and the school, using the main entrance as a </w:t>
            </w:r>
            <w:r>
              <w:rPr>
                <w:rFonts w:asciiTheme="minorHAnsi" w:hAnsiTheme="minorHAnsi" w:cs="Arial"/>
                <w:color w:val="000000"/>
                <w:sz w:val="24"/>
                <w:szCs w:val="24"/>
              </w:rPr>
              <w:lastRenderedPageBreak/>
              <w:t>starting point.  The Local Authority uses a computerised system, which measures all distances in metres. Ordnance Survey supply the co-ordinates that are used to plot an applicant’s home address and the address of the school. The measurements will be to the front gate of the school.  The Local Authority’s use of ‘final qualifier’ will be adopted.</w:t>
            </w:r>
          </w:p>
        </w:tc>
      </w:tr>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bCs/>
                <w:color w:val="000000"/>
                <w:sz w:val="24"/>
                <w:szCs w:val="24"/>
                <w:lang w:eastAsia="en-GB"/>
              </w:rPr>
              <w:lastRenderedPageBreak/>
              <w:t>Notes</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The allocation of places will be made upon the information provided on the application form.  Any inaccuracy in this information could result in an offer of a place being withdrawn at a subsequent date.</w:t>
            </w:r>
          </w:p>
          <w:p>
            <w:pPr>
              <w:autoSpaceDE w:val="0"/>
              <w:autoSpaceDN w:val="0"/>
              <w:rPr>
                <w:rFonts w:asciiTheme="minorHAnsi" w:hAnsiTheme="minorHAnsi"/>
                <w:iCs/>
                <w:sz w:val="24"/>
                <w:szCs w:val="24"/>
                <w:lang w:eastAsia="en-GB"/>
              </w:rPr>
            </w:pPr>
            <w:r>
              <w:rPr>
                <w:rFonts w:asciiTheme="minorHAnsi" w:hAnsiTheme="minorHAnsi"/>
                <w:iCs/>
                <w:sz w:val="24"/>
                <w:szCs w:val="24"/>
                <w:lang w:eastAsia="en-GB"/>
              </w:rPr>
              <w:t xml:space="preserve">Where a child has been successful for a place via the aptitude test criterion, they will be allocated a place on this criterion. If a child is unsuccessful for the aptitude test criterion but also meets any of the standard oversubscription criteria, the child will be allocated a place based on the standard oversubscription criteria. </w:t>
            </w:r>
          </w:p>
        </w:tc>
      </w:tr>
      <w:tr>
        <w:tc>
          <w:tcPr>
            <w:tcW w:w="1215" w:type="pct"/>
          </w:tcPr>
          <w:p>
            <w:pPr>
              <w:jc w:val="right"/>
              <w:rPr>
                <w:rFonts w:asciiTheme="minorHAnsi" w:hAnsiTheme="minorHAnsi" w:cs="Arial"/>
                <w:b/>
                <w:color w:val="000000"/>
                <w:sz w:val="24"/>
                <w:szCs w:val="24"/>
              </w:rPr>
            </w:pPr>
            <w:r>
              <w:rPr>
                <w:rFonts w:asciiTheme="minorHAnsi" w:hAnsiTheme="minorHAnsi" w:cs="Arial"/>
                <w:b/>
                <w:color w:val="000000"/>
                <w:sz w:val="24"/>
                <w:szCs w:val="24"/>
              </w:rPr>
              <w:t xml:space="preserve">Children with a statement of special educational needs </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lang w:eastAsia="en-GB"/>
              </w:rPr>
              <w:t>Any child with a statement of special educational needs/Education Health Care Plan is required to be admitted to the academy that is named in the statement/plan. This gives such children overall priority for admission to the named academy. This is not an oversubscription criterion.</w:t>
            </w:r>
          </w:p>
        </w:tc>
      </w:tr>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color w:val="000000"/>
                <w:sz w:val="24"/>
                <w:szCs w:val="24"/>
              </w:rPr>
              <w:t>Looked after or previously looked after children</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A 'looked after child' or a child who was previously looked after but immediately after being looked after became subject to an adoption, child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In the case of previously looked after children, admission authorities may request a copy of the Adoption Order, Child Arrangement Order or Special Guardianship order and a letter from the local authority that last looked after the child confirming that he or she was looked after immediately prior to that order being made.</w:t>
            </w:r>
          </w:p>
        </w:tc>
      </w:tr>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bCs/>
                <w:color w:val="000000"/>
                <w:sz w:val="24"/>
                <w:szCs w:val="24"/>
                <w:lang w:eastAsia="en-GB"/>
              </w:rPr>
              <w:t>Waiting list</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Following the offer of places, a waiting list will be kept in strict oversubscription criteria order until at least the end of the first academic term.  Each added child will require the list to be ranked again in line with the oversubscription criteria.</w:t>
            </w:r>
          </w:p>
        </w:tc>
      </w:tr>
      <w:tr>
        <w:tc>
          <w:tcPr>
            <w:tcW w:w="1215" w:type="pct"/>
          </w:tcPr>
          <w:p>
            <w:pPr>
              <w:jc w:val="right"/>
              <w:rPr>
                <w:rFonts w:asciiTheme="minorHAnsi" w:hAnsiTheme="minorHAnsi" w:cs="Arial"/>
                <w:b/>
                <w:bCs/>
                <w:color w:val="000000"/>
                <w:sz w:val="24"/>
                <w:szCs w:val="24"/>
                <w:lang w:eastAsia="en-GB"/>
              </w:rPr>
            </w:pPr>
            <w:r>
              <w:rPr>
                <w:rFonts w:asciiTheme="minorHAnsi" w:hAnsiTheme="minorHAnsi" w:cs="Arial"/>
                <w:b/>
                <w:color w:val="000000"/>
                <w:sz w:val="24"/>
                <w:szCs w:val="24"/>
              </w:rPr>
              <w:lastRenderedPageBreak/>
              <w:t>In Year Applications</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 xml:space="preserve">Applications made outside the normal admissions round (in-year admissions) should be made directly to the school. Parents/carers can apply for a place for their child at any time and to any school.  </w:t>
            </w:r>
          </w:p>
          <w:p>
            <w:pPr>
              <w:rPr>
                <w:rFonts w:asciiTheme="minorHAnsi" w:hAnsiTheme="minorHAnsi" w:cs="Arial"/>
                <w:color w:val="000000"/>
                <w:sz w:val="24"/>
                <w:szCs w:val="24"/>
              </w:rPr>
            </w:pPr>
            <w:r>
              <w:rPr>
                <w:rFonts w:asciiTheme="minorHAnsi" w:hAnsiTheme="minorHAnsi" w:cs="Arial"/>
                <w:color w:val="000000"/>
                <w:sz w:val="24"/>
                <w:szCs w:val="24"/>
              </w:rPr>
              <w:t>On receipt of an in-year application, the school will notify the local authority of both the application and its outcome, to allow the local authority to keep up to date with figures on the availability of school places in Birmingham.</w:t>
            </w:r>
          </w:p>
        </w:tc>
      </w:tr>
      <w:tr>
        <w:tc>
          <w:tcPr>
            <w:tcW w:w="1215" w:type="pct"/>
          </w:tcPr>
          <w:p>
            <w:pPr>
              <w:jc w:val="right"/>
              <w:rPr>
                <w:rFonts w:asciiTheme="minorHAnsi" w:hAnsiTheme="minorHAnsi" w:cs="Arial"/>
                <w:b/>
                <w:color w:val="000000"/>
                <w:sz w:val="24"/>
                <w:szCs w:val="24"/>
              </w:rPr>
            </w:pPr>
            <w:r>
              <w:rPr>
                <w:rFonts w:asciiTheme="minorHAnsi" w:hAnsiTheme="minorHAnsi" w:cs="Arial"/>
                <w:b/>
                <w:color w:val="000000"/>
                <w:sz w:val="24"/>
                <w:szCs w:val="24"/>
              </w:rPr>
              <w:t>Appeals</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 xml:space="preserve">As an Academy, Fairfax has adopted the Birmingham City Council scheme for appeals. In the first instance, parents must contact Fairfax directly and will be informed of the process in such cases. </w:t>
            </w:r>
          </w:p>
        </w:tc>
      </w:tr>
      <w:tr>
        <w:tc>
          <w:tcPr>
            <w:tcW w:w="1215" w:type="pct"/>
          </w:tcPr>
          <w:p>
            <w:pPr>
              <w:jc w:val="right"/>
              <w:rPr>
                <w:rFonts w:asciiTheme="minorHAnsi" w:hAnsiTheme="minorHAnsi" w:cs="Arial"/>
                <w:bCs/>
                <w:color w:val="000000"/>
                <w:sz w:val="24"/>
                <w:szCs w:val="24"/>
                <w:lang w:eastAsia="en-GB"/>
              </w:rPr>
            </w:pPr>
            <w:r>
              <w:rPr>
                <w:rFonts w:asciiTheme="minorHAnsi" w:hAnsiTheme="minorHAnsi" w:cs="Arial"/>
                <w:b/>
                <w:bCs/>
                <w:color w:val="000000"/>
                <w:sz w:val="24"/>
                <w:szCs w:val="24"/>
                <w:lang w:eastAsia="en-GB"/>
              </w:rPr>
              <w:t>Sixth Form Capacity</w:t>
            </w:r>
            <w:r>
              <w:rPr>
                <w:rFonts w:asciiTheme="minorHAnsi" w:hAnsiTheme="minorHAnsi" w:cs="Arial"/>
                <w:b/>
                <w:bCs/>
                <w:i/>
                <w:iCs/>
                <w:color w:val="000000"/>
                <w:sz w:val="24"/>
                <w:szCs w:val="24"/>
                <w:lang w:eastAsia="en-GB"/>
              </w:rPr>
              <w:t xml:space="preserve"> </w:t>
            </w:r>
            <w:r>
              <w:rPr>
                <w:rFonts w:asciiTheme="minorHAnsi" w:hAnsiTheme="minorHAnsi" w:cs="Arial"/>
                <w:b/>
                <w:bCs/>
                <w:iCs/>
                <w:color w:val="000000"/>
                <w:sz w:val="24"/>
                <w:szCs w:val="24"/>
                <w:lang w:eastAsia="en-GB"/>
              </w:rPr>
              <w:t>(both internal and external applicants)</w:t>
            </w:r>
          </w:p>
        </w:tc>
        <w:tc>
          <w:tcPr>
            <w:tcW w:w="3785" w:type="pct"/>
          </w:tcPr>
          <w:p>
            <w:pPr>
              <w:rPr>
                <w:rFonts w:asciiTheme="minorHAnsi" w:hAnsiTheme="minorHAnsi" w:cs="Arial"/>
                <w:color w:val="000000"/>
                <w:sz w:val="24"/>
                <w:szCs w:val="24"/>
              </w:rPr>
            </w:pPr>
            <w:r>
              <w:rPr>
                <w:rFonts w:asciiTheme="minorHAnsi" w:hAnsiTheme="minorHAnsi" w:cs="Arial"/>
                <w:color w:val="000000"/>
                <w:sz w:val="24"/>
                <w:szCs w:val="24"/>
              </w:rPr>
              <w:t>Year 12 – 250</w:t>
            </w:r>
          </w:p>
        </w:tc>
      </w:tr>
      <w:tr>
        <w:tc>
          <w:tcPr>
            <w:tcW w:w="1215" w:type="pct"/>
          </w:tcPr>
          <w:p>
            <w:pPr>
              <w:jc w:val="right"/>
              <w:rPr>
                <w:rFonts w:asciiTheme="minorHAnsi" w:hAnsiTheme="minorHAnsi" w:cs="Arial"/>
                <w:bCs/>
                <w:color w:val="000000"/>
                <w:sz w:val="24"/>
                <w:szCs w:val="24"/>
                <w:lang w:eastAsia="en-GB"/>
              </w:rPr>
            </w:pPr>
            <w:r>
              <w:rPr>
                <w:rFonts w:asciiTheme="minorHAnsi" w:hAnsiTheme="minorHAnsi" w:cs="Arial"/>
                <w:b/>
                <w:bCs/>
                <w:color w:val="000000"/>
                <w:sz w:val="24"/>
                <w:szCs w:val="24"/>
                <w:lang w:eastAsia="en-GB"/>
              </w:rPr>
              <w:t>Admission Number for External Applicants</w:t>
            </w:r>
          </w:p>
        </w:tc>
        <w:tc>
          <w:tcPr>
            <w:tcW w:w="3785" w:type="pct"/>
          </w:tcPr>
          <w:p>
            <w:pPr>
              <w:rPr>
                <w:rFonts w:asciiTheme="minorHAnsi" w:hAnsiTheme="minorHAnsi" w:cs="Arial"/>
                <w:color w:val="000000"/>
                <w:sz w:val="24"/>
                <w:szCs w:val="24"/>
              </w:rPr>
            </w:pPr>
            <w:r>
              <w:rPr>
                <w:rFonts w:asciiTheme="minorHAnsi" w:hAnsiTheme="minorHAnsi" w:cs="Arial"/>
                <w:i/>
                <w:color w:val="000000"/>
                <w:sz w:val="24"/>
                <w:szCs w:val="24"/>
                <w:lang w:eastAsia="en-GB"/>
              </w:rPr>
              <w:t>30</w:t>
            </w:r>
          </w:p>
        </w:tc>
      </w:tr>
      <w:tr>
        <w:tc>
          <w:tcPr>
            <w:tcW w:w="1215" w:type="pct"/>
          </w:tcPr>
          <w:p>
            <w:pPr>
              <w:jc w:val="right"/>
              <w:rPr>
                <w:rFonts w:asciiTheme="minorHAnsi" w:hAnsiTheme="minorHAnsi" w:cs="Arial"/>
                <w:bCs/>
                <w:color w:val="000000"/>
                <w:sz w:val="24"/>
                <w:szCs w:val="24"/>
                <w:lang w:eastAsia="en-GB"/>
              </w:rPr>
            </w:pPr>
            <w:r>
              <w:rPr>
                <w:rFonts w:asciiTheme="minorHAnsi" w:hAnsiTheme="minorHAnsi" w:cs="Arial"/>
                <w:b/>
                <w:bCs/>
                <w:color w:val="000000"/>
                <w:sz w:val="24"/>
                <w:szCs w:val="24"/>
                <w:lang w:eastAsia="en-GB"/>
              </w:rPr>
              <w:t>Minimum Academic Entrance Requirements</w:t>
            </w:r>
          </w:p>
        </w:tc>
        <w:tc>
          <w:tcPr>
            <w:tcW w:w="3785" w:type="pct"/>
          </w:tcPr>
          <w:p>
            <w:pPr>
              <w:autoSpaceDE w:val="0"/>
              <w:autoSpaceDN w:val="0"/>
              <w:adjustRightInd w:val="0"/>
              <w:rPr>
                <w:rFonts w:asciiTheme="minorHAnsi" w:hAnsiTheme="minorHAnsi" w:cs="Arial"/>
                <w:color w:val="000000"/>
                <w:sz w:val="24"/>
                <w:szCs w:val="24"/>
                <w:lang w:eastAsia="en-GB"/>
              </w:rPr>
            </w:pPr>
            <w:r>
              <w:rPr>
                <w:rFonts w:asciiTheme="minorHAnsi" w:hAnsiTheme="minorHAnsi" w:cs="Arial"/>
                <w:color w:val="000000"/>
                <w:sz w:val="24"/>
                <w:szCs w:val="24"/>
                <w:lang w:eastAsia="en-GB"/>
              </w:rPr>
              <w:t>Grade 4 or above in English and Mathematics and an additional 3 GCSEs Grade 4 or above (4-9</w:t>
            </w:r>
            <w:bookmarkStart w:id="2" w:name="_GoBack"/>
            <w:bookmarkEnd w:id="2"/>
            <w:r>
              <w:rPr>
                <w:rFonts w:asciiTheme="minorHAnsi" w:hAnsiTheme="minorHAnsi" w:cs="Arial"/>
                <w:color w:val="000000"/>
                <w:sz w:val="24"/>
                <w:szCs w:val="24"/>
                <w:lang w:eastAsia="en-GB"/>
              </w:rPr>
              <w:t>).</w:t>
            </w:r>
          </w:p>
          <w:p>
            <w:pPr>
              <w:autoSpaceDE w:val="0"/>
              <w:autoSpaceDN w:val="0"/>
              <w:adjustRightInd w:val="0"/>
              <w:rPr>
                <w:rFonts w:asciiTheme="minorHAnsi" w:hAnsiTheme="minorHAnsi" w:cs="Arial"/>
                <w:color w:val="000000"/>
                <w:sz w:val="24"/>
                <w:szCs w:val="24"/>
                <w:lang w:eastAsia="en-GB"/>
              </w:rPr>
            </w:pPr>
            <w:r>
              <w:rPr>
                <w:rFonts w:asciiTheme="minorHAnsi" w:hAnsiTheme="minorHAnsi" w:cs="Arial"/>
                <w:color w:val="000000"/>
                <w:sz w:val="24"/>
                <w:szCs w:val="24"/>
                <w:lang w:eastAsia="en-GB"/>
              </w:rPr>
              <w:t>There are also subject specific requirements which can be found in the Sixth Form prospectus.</w:t>
            </w:r>
          </w:p>
          <w:p>
            <w:pPr>
              <w:rPr>
                <w:rFonts w:asciiTheme="minorHAnsi" w:hAnsiTheme="minorHAnsi" w:cs="Arial"/>
                <w:color w:val="000000"/>
                <w:sz w:val="24"/>
                <w:szCs w:val="24"/>
              </w:rPr>
            </w:pPr>
            <w:r>
              <w:rPr>
                <w:rFonts w:asciiTheme="minorHAnsi" w:hAnsiTheme="minorHAnsi" w:cs="Arial"/>
                <w:color w:val="000000"/>
                <w:sz w:val="24"/>
                <w:szCs w:val="24"/>
                <w:lang w:eastAsia="en-GB"/>
              </w:rPr>
              <w:t>Internal applicants who meet the minimum academic entrance requirements will be offered a place automatically (subject to individual subject requirements and availability of courses).</w:t>
            </w:r>
          </w:p>
        </w:tc>
      </w:tr>
      <w:tr>
        <w:trPr>
          <w:trHeight w:val="674"/>
        </w:trPr>
        <w:tc>
          <w:tcPr>
            <w:tcW w:w="1215" w:type="pct"/>
          </w:tcPr>
          <w:p>
            <w:pPr>
              <w:jc w:val="right"/>
              <w:rPr>
                <w:rFonts w:asciiTheme="minorHAnsi" w:hAnsiTheme="minorHAnsi" w:cs="Arial"/>
                <w:bCs/>
                <w:color w:val="000000"/>
                <w:sz w:val="24"/>
                <w:szCs w:val="24"/>
                <w:lang w:eastAsia="en-GB"/>
              </w:rPr>
            </w:pPr>
            <w:r>
              <w:rPr>
                <w:rFonts w:asciiTheme="minorHAnsi" w:hAnsiTheme="minorHAnsi" w:cs="Arial"/>
                <w:b/>
                <w:bCs/>
                <w:color w:val="000000"/>
                <w:sz w:val="24"/>
                <w:szCs w:val="24"/>
                <w:lang w:eastAsia="en-GB"/>
              </w:rPr>
              <w:t>Oversubscription Criteria for External Applicants</w:t>
            </w:r>
          </w:p>
        </w:tc>
        <w:tc>
          <w:tcPr>
            <w:tcW w:w="3785" w:type="pct"/>
          </w:tcPr>
          <w:p>
            <w:pPr>
              <w:numPr>
                <w:ilvl w:val="0"/>
                <w:numId w:val="1"/>
              </w:numPr>
              <w:spacing w:after="0" w:line="240" w:lineRule="auto"/>
              <w:rPr>
                <w:rFonts w:asciiTheme="minorHAnsi" w:hAnsiTheme="minorHAnsi" w:cs="Arial"/>
                <w:color w:val="000000"/>
                <w:sz w:val="24"/>
                <w:szCs w:val="24"/>
              </w:rPr>
            </w:pPr>
            <w:r>
              <w:rPr>
                <w:rFonts w:asciiTheme="minorHAnsi" w:hAnsiTheme="minorHAnsi" w:cs="Arial"/>
                <w:color w:val="000000"/>
                <w:sz w:val="24"/>
                <w:szCs w:val="24"/>
              </w:rPr>
              <w:t>Looked after or previously looked after children</w:t>
            </w:r>
          </w:p>
          <w:p>
            <w:pPr>
              <w:numPr>
                <w:ilvl w:val="0"/>
                <w:numId w:val="1"/>
              </w:numPr>
              <w:autoSpaceDE w:val="0"/>
              <w:autoSpaceDN w:val="0"/>
              <w:adjustRightInd w:val="0"/>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rPr>
              <w:t xml:space="preserve">then those with a brother or sister already in the school in years 7-12. </w:t>
            </w:r>
          </w:p>
          <w:p>
            <w:pPr>
              <w:numPr>
                <w:ilvl w:val="0"/>
                <w:numId w:val="1"/>
              </w:numPr>
              <w:autoSpaceDE w:val="0"/>
              <w:autoSpaceDN w:val="0"/>
              <w:adjustRightInd w:val="0"/>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rPr>
              <w:t xml:space="preserve">then those living nearest to the school calculated by a </w:t>
            </w:r>
            <w:proofErr w:type="gramStart"/>
            <w:r>
              <w:rPr>
                <w:rFonts w:asciiTheme="minorHAnsi" w:hAnsiTheme="minorHAnsi" w:cs="Arial"/>
                <w:color w:val="000000"/>
                <w:sz w:val="24"/>
                <w:szCs w:val="24"/>
              </w:rPr>
              <w:t>straight line</w:t>
            </w:r>
            <w:proofErr w:type="gramEnd"/>
            <w:r>
              <w:rPr>
                <w:rFonts w:asciiTheme="minorHAnsi" w:hAnsiTheme="minorHAnsi" w:cs="Arial"/>
                <w:color w:val="000000"/>
                <w:sz w:val="24"/>
                <w:szCs w:val="24"/>
              </w:rPr>
              <w:t xml:space="preserve"> measurement between the house and the school.</w:t>
            </w:r>
          </w:p>
        </w:tc>
      </w:tr>
    </w:tbl>
    <w:p>
      <w:pPr>
        <w:rPr>
          <w:rFonts w:asciiTheme="minorHAnsi" w:hAnsiTheme="minorHAnsi"/>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90F"/>
    <w:multiLevelType w:val="hybridMultilevel"/>
    <w:tmpl w:val="2C845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157B6B"/>
    <w:multiLevelType w:val="hybridMultilevel"/>
    <w:tmpl w:val="371A4C64"/>
    <w:lvl w:ilvl="0" w:tplc="ED347F8A">
      <w:start w:val="1"/>
      <w:numFmt w:val="lowerLetter"/>
      <w:lvlText w:val="%1)"/>
      <w:lvlJc w:val="left"/>
      <w:pPr>
        <w:tabs>
          <w:tab w:val="num" w:pos="994"/>
        </w:tabs>
        <w:ind w:left="994" w:hanging="45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597EA-A095-4140-A4CA-60EA2498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51">
      <w:bodyDiv w:val="1"/>
      <w:marLeft w:val="0"/>
      <w:marRight w:val="0"/>
      <w:marTop w:val="0"/>
      <w:marBottom w:val="0"/>
      <w:divBdr>
        <w:top w:val="none" w:sz="0" w:space="0" w:color="auto"/>
        <w:left w:val="none" w:sz="0" w:space="0" w:color="auto"/>
        <w:bottom w:val="none" w:sz="0" w:space="0" w:color="auto"/>
        <w:right w:val="none" w:sz="0" w:space="0" w:color="auto"/>
      </w:divBdr>
    </w:div>
    <w:div w:id="1117526374">
      <w:bodyDiv w:val="1"/>
      <w:marLeft w:val="0"/>
      <w:marRight w:val="0"/>
      <w:marTop w:val="0"/>
      <w:marBottom w:val="0"/>
      <w:divBdr>
        <w:top w:val="none" w:sz="0" w:space="0" w:color="auto"/>
        <w:left w:val="none" w:sz="0" w:space="0" w:color="auto"/>
        <w:bottom w:val="none" w:sz="0" w:space="0" w:color="auto"/>
        <w:right w:val="none" w:sz="0" w:space="0" w:color="auto"/>
      </w:divBdr>
    </w:div>
    <w:div w:id="1613318323">
      <w:bodyDiv w:val="1"/>
      <w:marLeft w:val="0"/>
      <w:marRight w:val="0"/>
      <w:marTop w:val="0"/>
      <w:marBottom w:val="0"/>
      <w:divBdr>
        <w:top w:val="none" w:sz="0" w:space="0" w:color="auto"/>
        <w:left w:val="none" w:sz="0" w:space="0" w:color="auto"/>
        <w:bottom w:val="none" w:sz="0" w:space="0" w:color="auto"/>
        <w:right w:val="none" w:sz="0" w:space="0" w:color="auto"/>
      </w:divBdr>
    </w:div>
    <w:div w:id="16977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T Johns</cp:lastModifiedBy>
  <cp:revision>5</cp:revision>
  <cp:lastPrinted>2018-10-04T09:27:00Z</cp:lastPrinted>
  <dcterms:created xsi:type="dcterms:W3CDTF">2021-05-06T14:57:00Z</dcterms:created>
  <dcterms:modified xsi:type="dcterms:W3CDTF">2021-05-13T11:02:00Z</dcterms:modified>
</cp:coreProperties>
</file>