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entury Gothic" w:eastAsiaTheme="minorEastAsia" w:hAnsi="Century Gothic"/>
          <w:b/>
          <w:sz w:val="32"/>
          <w:lang w:val="en-US" w:eastAsia="ja-JP"/>
        </w:rPr>
        <w:id w:val="-34043007"/>
        <w:docPartObj>
          <w:docPartGallery w:val="Cover Pages"/>
          <w:docPartUnique/>
        </w:docPartObj>
      </w:sdtPr>
      <w:sdtEndPr>
        <w:rPr>
          <w:rFonts w:eastAsiaTheme="majorEastAsia" w:cstheme="majorBidi"/>
          <w:b w:val="0"/>
          <w:color w:val="365F91" w:themeColor="accent1" w:themeShade="BF"/>
          <w:sz w:val="56"/>
          <w:szCs w:val="56"/>
        </w:rPr>
      </w:sdtEndPr>
      <w:sdtContent>
        <w:p w:rsidR="009E064F" w:rsidRDefault="009E064F">
          <w:pPr>
            <w:jc w:val="center"/>
            <w:rPr>
              <w:rFonts w:ascii="Century Gothic" w:eastAsiaTheme="minorEastAsia" w:hAnsi="Century Gothic"/>
              <w:b/>
              <w:sz w:val="32"/>
              <w:lang w:val="en-US" w:eastAsia="ja-JP"/>
            </w:rPr>
          </w:pPr>
        </w:p>
        <w:p w:rsidR="009E064F" w:rsidRDefault="009E064F">
          <w:pPr>
            <w:jc w:val="center"/>
            <w:rPr>
              <w:rFonts w:ascii="Century Gothic" w:eastAsiaTheme="minorEastAsia" w:hAnsi="Century Gothic"/>
              <w:b/>
              <w:sz w:val="32"/>
              <w:lang w:val="en-US" w:eastAsia="ja-JP"/>
            </w:rPr>
          </w:pPr>
        </w:p>
        <w:p w:rsidR="009E064F" w:rsidRDefault="009E064F">
          <w:pPr>
            <w:jc w:val="center"/>
            <w:rPr>
              <w:rFonts w:ascii="Century Gothic" w:eastAsiaTheme="minorEastAsia" w:hAnsi="Century Gothic"/>
              <w:b/>
              <w:sz w:val="32"/>
              <w:lang w:val="en-US" w:eastAsia="ja-JP"/>
            </w:rPr>
          </w:pPr>
        </w:p>
        <w:p w:rsidR="009E064F" w:rsidRDefault="00453CB1">
          <w:pPr>
            <w:jc w:val="center"/>
            <w:rPr>
              <w:rFonts w:ascii="Century Gothic" w:eastAsiaTheme="majorEastAsia" w:hAnsi="Century Gothic" w:cstheme="majorBidi"/>
              <w:color w:val="365F91" w:themeColor="accent1" w:themeShade="BF"/>
              <w:sz w:val="80"/>
              <w:szCs w:val="80"/>
              <w:lang w:val="en-US" w:eastAsia="ja-JP"/>
            </w:rPr>
          </w:pPr>
          <w:r>
            <w:rPr>
              <w:rFonts w:ascii="Century Gothic" w:hAnsi="Century Gothic"/>
              <w:noProof/>
              <w:lang w:eastAsia="en-GB"/>
            </w:rPr>
            <w:drawing>
              <wp:inline distT="0" distB="0" distL="0" distR="0">
                <wp:extent cx="4018193" cy="1197050"/>
                <wp:effectExtent l="0" t="0" r="1905" b="3175"/>
                <wp:docPr id="1" name="Picture 1" descr="R:\Fairfax Logo's Septemer 2012\Logo\JPGs\Small\FairfaxLogo(Use when printing B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airfax Logo's Septemer 2012\Logo\JPGs\Small\FairfaxLogo(Use when printing BW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4050" cy="1198795"/>
                        </a:xfrm>
                        <a:prstGeom prst="rect">
                          <a:avLst/>
                        </a:prstGeom>
                        <a:noFill/>
                        <a:ln>
                          <a:noFill/>
                        </a:ln>
                      </pic:spPr>
                    </pic:pic>
                  </a:graphicData>
                </a:graphic>
              </wp:inline>
            </w:drawing>
          </w:r>
        </w:p>
        <w:p w:rsidR="009E064F" w:rsidRDefault="009E064F">
          <w:pPr>
            <w:jc w:val="center"/>
            <w:rPr>
              <w:rFonts w:ascii="Century Gothic" w:eastAsiaTheme="majorEastAsia" w:hAnsi="Century Gothic" w:cstheme="majorBidi"/>
              <w:color w:val="365F91" w:themeColor="accent1" w:themeShade="BF"/>
              <w:sz w:val="80"/>
              <w:szCs w:val="80"/>
              <w:lang w:val="en-US" w:eastAsia="ja-JP"/>
            </w:rPr>
          </w:pPr>
        </w:p>
        <w:p w:rsidR="009E064F" w:rsidRDefault="009E064F">
          <w:pPr>
            <w:jc w:val="center"/>
            <w:rPr>
              <w:rFonts w:ascii="Century Gothic" w:eastAsiaTheme="majorEastAsia" w:hAnsi="Century Gothic" w:cstheme="majorBidi"/>
              <w:color w:val="365F91" w:themeColor="accent1" w:themeShade="BF"/>
              <w:sz w:val="80"/>
              <w:szCs w:val="80"/>
              <w:lang w:val="en-US" w:eastAsia="ja-JP"/>
            </w:rPr>
          </w:pPr>
        </w:p>
        <w:p w:rsidR="009E064F" w:rsidRDefault="009E064F">
          <w:pPr>
            <w:jc w:val="center"/>
            <w:rPr>
              <w:rFonts w:ascii="Century Gothic" w:eastAsiaTheme="majorEastAsia" w:hAnsi="Century Gothic" w:cstheme="majorBidi"/>
              <w:color w:val="365F91" w:themeColor="accent1" w:themeShade="BF"/>
              <w:sz w:val="80"/>
              <w:szCs w:val="80"/>
              <w:lang w:val="en-US" w:eastAsia="ja-JP"/>
            </w:rPr>
          </w:pPr>
        </w:p>
        <w:p w:rsidR="009E064F" w:rsidRDefault="009E064F">
          <w:pPr>
            <w:jc w:val="center"/>
            <w:rPr>
              <w:rFonts w:ascii="Century Gothic" w:eastAsiaTheme="majorEastAsia" w:hAnsi="Century Gothic" w:cstheme="majorBidi"/>
              <w:color w:val="365F91" w:themeColor="accent1" w:themeShade="BF"/>
              <w:sz w:val="80"/>
              <w:szCs w:val="80"/>
              <w:lang w:val="en-US" w:eastAsia="ja-JP"/>
            </w:rPr>
          </w:pPr>
        </w:p>
        <w:p w:rsidR="009E064F" w:rsidRDefault="009E064F">
          <w:pPr>
            <w:jc w:val="center"/>
            <w:rPr>
              <w:rFonts w:ascii="Century Gothic" w:eastAsiaTheme="majorEastAsia" w:hAnsi="Century Gothic" w:cstheme="majorBidi"/>
              <w:color w:val="365F91" w:themeColor="accent1" w:themeShade="BF"/>
              <w:sz w:val="80"/>
              <w:szCs w:val="80"/>
              <w:lang w:val="en-US" w:eastAsia="ja-JP"/>
            </w:rPr>
          </w:pPr>
        </w:p>
        <w:p w:rsidR="009E064F" w:rsidRDefault="00453CB1">
          <w:pPr>
            <w:jc w:val="center"/>
            <w:rPr>
              <w:rFonts w:ascii="Century Gothic" w:eastAsiaTheme="majorEastAsia" w:hAnsi="Century Gothic"/>
              <w:sz w:val="56"/>
              <w:szCs w:val="56"/>
              <w:lang w:val="en-US" w:eastAsia="ja-JP"/>
            </w:rPr>
          </w:pPr>
          <w:r>
            <w:rPr>
              <w:rFonts w:ascii="Century Gothic" w:eastAsiaTheme="majorEastAsia" w:hAnsi="Century Gothic"/>
              <w:noProof/>
              <w:sz w:val="56"/>
              <w:szCs w:val="56"/>
              <w:lang w:eastAsia="en-GB"/>
            </w:rPr>
            <mc:AlternateContent>
              <mc:Choice Requires="wps">
                <w:drawing>
                  <wp:anchor distT="0" distB="0" distL="114300" distR="114300" simplePos="0" relativeHeight="251683840" behindDoc="0" locked="0" layoutInCell="1" allowOverlap="1">
                    <wp:simplePos x="0" y="0"/>
                    <wp:positionH relativeFrom="column">
                      <wp:posOffset>-341644</wp:posOffset>
                    </wp:positionH>
                    <wp:positionV relativeFrom="paragraph">
                      <wp:posOffset>602252</wp:posOffset>
                    </wp:positionV>
                    <wp:extent cx="6296660" cy="1"/>
                    <wp:effectExtent l="0" t="0" r="27940" b="19050"/>
                    <wp:wrapNone/>
                    <wp:docPr id="17" name="Straight Connector 17"/>
                    <wp:cNvGraphicFramePr/>
                    <a:graphic xmlns:a="http://schemas.openxmlformats.org/drawingml/2006/main">
                      <a:graphicData uri="http://schemas.microsoft.com/office/word/2010/wordprocessingShape">
                        <wps:wsp>
                          <wps:cNvCnPr/>
                          <wps:spPr>
                            <a:xfrm flipV="1">
                              <a:off x="0" y="0"/>
                              <a:ext cx="629666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pt,47.4pt" to="468.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" strokecolor="black [3040]"/>
                </w:pict>
              </mc:Fallback>
            </mc:AlternateContent>
          </w:r>
          <w:r>
            <w:rPr>
              <w:rFonts w:ascii="Century Gothic" w:eastAsiaTheme="majorEastAsia" w:hAnsi="Century Gothic"/>
              <w:sz w:val="56"/>
              <w:szCs w:val="56"/>
              <w:lang w:val="en-US" w:eastAsia="ja-JP"/>
            </w:rPr>
            <w:t>16-19 Bursary Policy 2019/20</w:t>
          </w:r>
        </w:p>
      </w:sdtContent>
    </w:sdt>
    <w:p w:rsidR="009E064F" w:rsidRDefault="00453CB1">
      <w:pPr>
        <w:tabs>
          <w:tab w:val="left" w:pos="4020"/>
        </w:tabs>
        <w:jc w:val="both"/>
        <w:rPr>
          <w:rFonts w:ascii="Century Gothic" w:hAnsi="Century Gothic"/>
          <w:b/>
          <w:sz w:val="32"/>
        </w:rPr>
      </w:pPr>
      <w:r>
        <w:rPr>
          <w:rFonts w:ascii="Century Gothic" w:hAnsi="Century Gothic"/>
          <w:sz w:val="32"/>
        </w:rPr>
        <w:br w:type="page"/>
      </w:r>
      <w:r>
        <w:rPr>
          <w:rFonts w:ascii="Century Gothic" w:hAnsi="Century Gothic"/>
          <w:b/>
          <w:sz w:val="32"/>
        </w:rPr>
        <w:lastRenderedPageBreak/>
        <w:tab/>
      </w:r>
    </w:p>
    <w:p w:rsidR="009E064F" w:rsidRDefault="009E064F">
      <w:pPr>
        <w:pStyle w:val="NoSpacing"/>
        <w:rPr>
          <w:rFonts w:ascii="Century Gothic" w:hAnsi="Century Gothic"/>
        </w:rPr>
      </w:pPr>
    </w:p>
    <w:p w:rsidR="009E064F" w:rsidRDefault="009E064F">
      <w:pPr>
        <w:pStyle w:val="NoSpacing"/>
        <w:rPr>
          <w:rFonts w:ascii="Century Gothic" w:hAnsi="Century Gothic"/>
        </w:rPr>
      </w:pPr>
    </w:p>
    <w:p w:rsidR="009E064F" w:rsidRDefault="00453CB1">
      <w:pPr>
        <w:pStyle w:val="NoSpacing"/>
        <w:rPr>
          <w:rFonts w:ascii="Century Gothic" w:hAnsi="Century Gothic"/>
          <w:sz w:val="36"/>
        </w:rPr>
      </w:pPr>
      <w:r>
        <w:rPr>
          <w:rFonts w:ascii="Century Gothic" w:hAnsi="Century Gothic"/>
          <w:sz w:val="36"/>
        </w:rPr>
        <w:t>Contents:</w:t>
      </w:r>
    </w:p>
    <w:p w:rsidR="009E064F" w:rsidRDefault="009E064F">
      <w:pPr>
        <w:pStyle w:val="NoSpacing"/>
        <w:rPr>
          <w:rFonts w:ascii="Century Gothic" w:hAnsi="Century Gothic"/>
          <w:sz w:val="36"/>
        </w:rPr>
      </w:pPr>
    </w:p>
    <w:p w:rsidR="009E064F" w:rsidRDefault="009E064F">
      <w:pPr>
        <w:pStyle w:val="NoSpacing"/>
        <w:rPr>
          <w:rFonts w:ascii="Century Gothic" w:hAnsi="Century Gothic"/>
        </w:rPr>
      </w:pPr>
    </w:p>
    <w:p w:rsidR="009E064F" w:rsidRDefault="00453CB1">
      <w:pPr>
        <w:spacing w:before="120" w:after="120" w:line="320" w:lineRule="exact"/>
        <w:jc w:val="both"/>
        <w:rPr>
          <w:rFonts w:ascii="Century Gothic" w:hAnsi="Century Gothic"/>
          <w:color w:val="auto"/>
          <w:sz w:val="28"/>
        </w:rPr>
      </w:pPr>
      <w:r>
        <w:rPr>
          <w:rFonts w:ascii="Century Gothic" w:hAnsi="Century Gothic"/>
          <w:color w:val="auto"/>
          <w:sz w:val="28"/>
        </w:rPr>
        <w:t>Statement of intent</w:t>
      </w:r>
    </w:p>
    <w:p w:rsidR="009E064F" w:rsidRDefault="009E064F">
      <w:pPr>
        <w:pStyle w:val="ListParagraph"/>
        <w:spacing w:before="120" w:after="120" w:line="320" w:lineRule="exact"/>
        <w:ind w:left="1418"/>
        <w:jc w:val="both"/>
        <w:rPr>
          <w:rFonts w:ascii="Century Gothic" w:hAnsi="Century Gothic"/>
          <w:color w:val="auto"/>
          <w:sz w:val="28"/>
        </w:rPr>
      </w:pPr>
    </w:p>
    <w:p w:rsidR="009E064F" w:rsidRDefault="00453CB1">
      <w:pPr>
        <w:pStyle w:val="ListParagraph"/>
        <w:numPr>
          <w:ilvl w:val="0"/>
          <w:numId w:val="40"/>
        </w:numPr>
        <w:spacing w:before="120" w:after="120" w:line="320" w:lineRule="exact"/>
        <w:ind w:left="698" w:hanging="698"/>
        <w:jc w:val="both"/>
        <w:rPr>
          <w:rStyle w:val="Hyperlink"/>
          <w:rFonts w:ascii="Century Gothic" w:hAnsi="Century Gothic"/>
          <w:color w:val="auto"/>
          <w:sz w:val="28"/>
          <w:u w:val="none"/>
        </w:rPr>
      </w:pPr>
      <w:r>
        <w:rPr>
          <w:rFonts w:ascii="Century Gothic" w:hAnsi="Century Gothic"/>
          <w:color w:val="auto"/>
          <w:sz w:val="28"/>
        </w:rPr>
        <w:t>Eligibility</w:t>
      </w:r>
      <w:r>
        <w:rPr>
          <w:rStyle w:val="Hyperlink"/>
          <w:rFonts w:ascii="Century Gothic" w:hAnsi="Century Gothic"/>
          <w:color w:val="auto"/>
          <w:sz w:val="28"/>
          <w:u w:val="none"/>
        </w:rPr>
        <w:t xml:space="preserve"> </w:t>
      </w:r>
    </w:p>
    <w:p w:rsidR="009E064F" w:rsidRDefault="009E064F">
      <w:pPr>
        <w:pStyle w:val="ListParagraph"/>
        <w:spacing w:before="120" w:after="120" w:line="320" w:lineRule="exact"/>
        <w:ind w:left="360"/>
        <w:jc w:val="both"/>
        <w:rPr>
          <w:rStyle w:val="Hyperlink"/>
          <w:rFonts w:ascii="Century Gothic" w:hAnsi="Century Gothic"/>
          <w:color w:val="auto"/>
          <w:sz w:val="28"/>
          <w:u w:val="none"/>
        </w:rPr>
      </w:pPr>
    </w:p>
    <w:p w:rsidR="009E064F" w:rsidRDefault="00453CB1">
      <w:pPr>
        <w:pStyle w:val="ListParagraph"/>
        <w:numPr>
          <w:ilvl w:val="0"/>
          <w:numId w:val="40"/>
        </w:numPr>
        <w:spacing w:before="120" w:after="120" w:line="320" w:lineRule="exact"/>
        <w:ind w:left="698" w:hanging="698"/>
        <w:jc w:val="both"/>
        <w:rPr>
          <w:rStyle w:val="Hyperlink"/>
          <w:rFonts w:ascii="Century Gothic" w:hAnsi="Century Gothic"/>
          <w:color w:val="auto"/>
          <w:sz w:val="28"/>
          <w:u w:val="none"/>
        </w:rPr>
      </w:pPr>
      <w:r>
        <w:rPr>
          <w:rStyle w:val="Hyperlink"/>
          <w:rFonts w:ascii="Century Gothic" w:hAnsi="Century Gothic"/>
          <w:color w:val="auto"/>
          <w:sz w:val="28"/>
          <w:u w:val="none"/>
        </w:rPr>
        <w:t>How to Apply</w:t>
      </w:r>
    </w:p>
    <w:p w:rsidR="009E064F" w:rsidRDefault="009E064F">
      <w:pPr>
        <w:pStyle w:val="ListParagraph"/>
        <w:spacing w:before="120" w:after="120" w:line="320" w:lineRule="exact"/>
        <w:ind w:left="360"/>
        <w:jc w:val="both"/>
        <w:rPr>
          <w:rStyle w:val="Hyperlink"/>
          <w:rFonts w:ascii="Century Gothic" w:hAnsi="Century Gothic"/>
          <w:color w:val="auto"/>
          <w:sz w:val="28"/>
          <w:u w:val="none"/>
        </w:rPr>
      </w:pPr>
    </w:p>
    <w:p w:rsidR="009E064F" w:rsidRDefault="00453CB1">
      <w:pPr>
        <w:pStyle w:val="ListParagraph"/>
        <w:numPr>
          <w:ilvl w:val="0"/>
          <w:numId w:val="40"/>
        </w:numPr>
        <w:spacing w:before="120" w:after="120" w:line="320" w:lineRule="exact"/>
        <w:ind w:left="698" w:hanging="698"/>
        <w:jc w:val="both"/>
        <w:rPr>
          <w:rFonts w:ascii="Century Gothic" w:hAnsi="Century Gothic"/>
          <w:color w:val="auto"/>
          <w:sz w:val="28"/>
        </w:rPr>
      </w:pPr>
      <w:bookmarkStart w:id="0" w:name="c"/>
      <w:r>
        <w:rPr>
          <w:rFonts w:ascii="Century Gothic" w:hAnsi="Century Gothic"/>
          <w:color w:val="auto"/>
          <w:sz w:val="28"/>
        </w:rPr>
        <w:t xml:space="preserve">Contingency </w:t>
      </w:r>
    </w:p>
    <w:p w:rsidR="009E064F" w:rsidRDefault="009E064F">
      <w:pPr>
        <w:pStyle w:val="ListParagraph"/>
        <w:spacing w:before="120" w:after="120" w:line="320" w:lineRule="exact"/>
        <w:ind w:left="360"/>
        <w:jc w:val="both"/>
        <w:rPr>
          <w:rFonts w:ascii="Century Gothic" w:hAnsi="Century Gothic"/>
          <w:color w:val="auto"/>
          <w:sz w:val="28"/>
        </w:rPr>
      </w:pPr>
    </w:p>
    <w:bookmarkEnd w:id="0"/>
    <w:p w:rsidR="009E064F" w:rsidRDefault="00453CB1">
      <w:pPr>
        <w:pStyle w:val="ListParagraph"/>
        <w:numPr>
          <w:ilvl w:val="0"/>
          <w:numId w:val="40"/>
        </w:numPr>
        <w:spacing w:before="120" w:after="120" w:line="320" w:lineRule="exact"/>
        <w:ind w:left="698" w:hanging="698"/>
        <w:jc w:val="both"/>
        <w:rPr>
          <w:rFonts w:ascii="Century Gothic" w:hAnsi="Century Gothic"/>
          <w:color w:val="auto"/>
          <w:sz w:val="28"/>
        </w:rPr>
      </w:pPr>
      <w:r>
        <w:rPr>
          <w:rFonts w:ascii="Century Gothic" w:hAnsi="Century Gothic"/>
          <w:color w:val="auto"/>
          <w:sz w:val="28"/>
        </w:rPr>
        <w:t xml:space="preserve">Assessment </w:t>
      </w:r>
    </w:p>
    <w:p w:rsidR="009E064F" w:rsidRDefault="009E064F">
      <w:pPr>
        <w:pStyle w:val="ListParagraph"/>
        <w:spacing w:before="120" w:after="120" w:line="320" w:lineRule="exact"/>
        <w:ind w:left="360"/>
        <w:jc w:val="both"/>
        <w:rPr>
          <w:rFonts w:ascii="Century Gothic" w:hAnsi="Century Gothic"/>
          <w:color w:val="auto"/>
          <w:sz w:val="28"/>
        </w:rPr>
      </w:pPr>
    </w:p>
    <w:p w:rsidR="009E064F" w:rsidRDefault="00453CB1">
      <w:pPr>
        <w:pStyle w:val="ListParagraph"/>
        <w:numPr>
          <w:ilvl w:val="0"/>
          <w:numId w:val="40"/>
        </w:numPr>
        <w:spacing w:before="120" w:after="120" w:line="320" w:lineRule="exact"/>
        <w:ind w:left="698" w:hanging="709"/>
        <w:jc w:val="both"/>
        <w:rPr>
          <w:rFonts w:ascii="Century Gothic" w:hAnsi="Century Gothic"/>
          <w:color w:val="auto"/>
          <w:sz w:val="28"/>
        </w:rPr>
      </w:pPr>
      <w:r>
        <w:rPr>
          <w:rFonts w:ascii="Century Gothic" w:hAnsi="Century Gothic"/>
          <w:color w:val="auto"/>
          <w:sz w:val="28"/>
        </w:rPr>
        <w:t>Conditions</w:t>
      </w:r>
    </w:p>
    <w:p w:rsidR="009E064F" w:rsidRDefault="009E064F">
      <w:pPr>
        <w:pStyle w:val="ListParagraph"/>
        <w:spacing w:before="120" w:after="120" w:line="320" w:lineRule="exact"/>
        <w:ind w:left="360"/>
        <w:jc w:val="both"/>
        <w:rPr>
          <w:rFonts w:ascii="Century Gothic" w:hAnsi="Century Gothic"/>
          <w:color w:val="auto"/>
          <w:sz w:val="28"/>
        </w:rPr>
      </w:pPr>
    </w:p>
    <w:p w:rsidR="009E064F" w:rsidRDefault="00453CB1">
      <w:pPr>
        <w:pStyle w:val="ListParagraph"/>
        <w:numPr>
          <w:ilvl w:val="0"/>
          <w:numId w:val="40"/>
        </w:numPr>
        <w:spacing w:before="120" w:after="120" w:line="320" w:lineRule="exact"/>
        <w:ind w:left="698" w:hanging="709"/>
        <w:jc w:val="both"/>
        <w:rPr>
          <w:rFonts w:ascii="Century Gothic" w:hAnsi="Century Gothic"/>
          <w:color w:val="auto"/>
          <w:sz w:val="28"/>
        </w:rPr>
      </w:pPr>
      <w:r>
        <w:rPr>
          <w:rFonts w:ascii="Century Gothic" w:hAnsi="Century Gothic"/>
          <w:color w:val="auto"/>
          <w:sz w:val="28"/>
        </w:rPr>
        <w:t>Appeals</w:t>
      </w:r>
    </w:p>
    <w:p w:rsidR="009E064F" w:rsidRDefault="009E064F">
      <w:pPr>
        <w:pStyle w:val="ListParagraph"/>
        <w:spacing w:before="120" w:after="120" w:line="320" w:lineRule="exact"/>
        <w:ind w:left="360"/>
        <w:jc w:val="both"/>
        <w:rPr>
          <w:rFonts w:ascii="Century Gothic" w:hAnsi="Century Gothic"/>
          <w:color w:val="auto"/>
          <w:sz w:val="28"/>
        </w:rPr>
      </w:pPr>
    </w:p>
    <w:p w:rsidR="009E064F" w:rsidRDefault="00453CB1">
      <w:pPr>
        <w:pStyle w:val="ListParagraph"/>
        <w:numPr>
          <w:ilvl w:val="0"/>
          <w:numId w:val="40"/>
        </w:numPr>
        <w:spacing w:before="120" w:after="120" w:line="320" w:lineRule="exact"/>
        <w:ind w:left="698" w:hanging="698"/>
        <w:jc w:val="both"/>
        <w:rPr>
          <w:rFonts w:ascii="Century Gothic" w:hAnsi="Century Gothic"/>
        </w:rPr>
      </w:pPr>
      <w:r>
        <w:rPr>
          <w:rFonts w:ascii="Century Gothic" w:hAnsi="Century Gothic"/>
          <w:color w:val="auto"/>
          <w:sz w:val="28"/>
        </w:rPr>
        <w:t>Reviews</w:t>
      </w:r>
    </w:p>
    <w:p w:rsidR="009E064F" w:rsidRDefault="009E064F">
      <w:pPr>
        <w:spacing w:before="120" w:after="120" w:line="320" w:lineRule="exact"/>
        <w:jc w:val="both"/>
        <w:rPr>
          <w:rFonts w:ascii="Century Gothic" w:hAnsi="Century Gothic"/>
        </w:rPr>
      </w:pPr>
    </w:p>
    <w:p w:rsidR="009E064F" w:rsidRDefault="009E064F">
      <w:pPr>
        <w:spacing w:before="120" w:after="120" w:line="320" w:lineRule="exact"/>
        <w:jc w:val="both"/>
        <w:rPr>
          <w:rFonts w:ascii="Century Gothic" w:hAnsi="Century Gothic"/>
        </w:rPr>
      </w:pPr>
    </w:p>
    <w:p w:rsidR="009E064F" w:rsidRDefault="009E064F">
      <w:pPr>
        <w:spacing w:before="120" w:after="120" w:line="320" w:lineRule="exact"/>
        <w:jc w:val="both"/>
        <w:rPr>
          <w:rFonts w:ascii="Century Gothic" w:hAnsi="Century Gothic"/>
        </w:rPr>
      </w:pPr>
    </w:p>
    <w:p w:rsidR="009E064F" w:rsidRDefault="009E064F">
      <w:pPr>
        <w:spacing w:before="120" w:after="120" w:line="320" w:lineRule="exact"/>
        <w:jc w:val="both"/>
        <w:rPr>
          <w:rFonts w:ascii="Century Gothic" w:hAnsi="Century Gothic"/>
        </w:rPr>
      </w:pPr>
    </w:p>
    <w:p w:rsidR="009E064F" w:rsidRDefault="009E064F">
      <w:pPr>
        <w:spacing w:before="120" w:after="120" w:line="320" w:lineRule="exact"/>
        <w:jc w:val="both"/>
        <w:rPr>
          <w:rFonts w:ascii="Century Gothic" w:hAnsi="Century Gothic"/>
        </w:rPr>
      </w:pPr>
    </w:p>
    <w:p w:rsidR="009E064F" w:rsidRDefault="009E064F">
      <w:pPr>
        <w:spacing w:before="120" w:after="120" w:line="320" w:lineRule="exact"/>
        <w:jc w:val="both"/>
        <w:rPr>
          <w:rFonts w:ascii="Century Gothic" w:hAnsi="Century Gothic"/>
        </w:rPr>
      </w:pPr>
    </w:p>
    <w:p w:rsidR="009E064F" w:rsidRDefault="009E064F">
      <w:pPr>
        <w:spacing w:before="120" w:after="120" w:line="320" w:lineRule="exact"/>
        <w:jc w:val="both"/>
        <w:rPr>
          <w:rFonts w:ascii="Century Gothic" w:hAnsi="Century Gothic"/>
        </w:rPr>
      </w:pPr>
    </w:p>
    <w:p w:rsidR="009E064F" w:rsidRDefault="009E064F">
      <w:pPr>
        <w:spacing w:before="120" w:after="120" w:line="320" w:lineRule="exact"/>
        <w:jc w:val="both"/>
        <w:rPr>
          <w:rFonts w:ascii="Century Gothic" w:hAnsi="Century Gothic"/>
        </w:rPr>
      </w:pPr>
    </w:p>
    <w:p w:rsidR="009E064F" w:rsidRDefault="009E064F">
      <w:pPr>
        <w:spacing w:before="120" w:after="120" w:line="320" w:lineRule="exact"/>
        <w:jc w:val="both"/>
        <w:rPr>
          <w:rFonts w:ascii="Century Gothic" w:hAnsi="Century Gothic"/>
        </w:rPr>
      </w:pPr>
    </w:p>
    <w:p w:rsidR="009E064F" w:rsidRDefault="009E064F">
      <w:pPr>
        <w:spacing w:before="120" w:after="120" w:line="320" w:lineRule="exact"/>
        <w:jc w:val="both"/>
        <w:rPr>
          <w:rFonts w:ascii="Century Gothic" w:hAnsi="Century Gothic"/>
        </w:rPr>
      </w:pPr>
    </w:p>
    <w:p w:rsidR="009E064F" w:rsidRDefault="009E064F">
      <w:pPr>
        <w:spacing w:before="120" w:after="120" w:line="320" w:lineRule="exact"/>
        <w:jc w:val="both"/>
        <w:rPr>
          <w:rFonts w:ascii="Century Gothic" w:hAnsi="Century Gothic"/>
        </w:rPr>
      </w:pPr>
    </w:p>
    <w:p w:rsidR="009E064F" w:rsidRDefault="009E064F">
      <w:pPr>
        <w:spacing w:before="120" w:after="120" w:line="320" w:lineRule="exact"/>
        <w:jc w:val="both"/>
        <w:rPr>
          <w:rFonts w:ascii="Century Gothic" w:hAnsi="Century Gothic"/>
        </w:rPr>
      </w:pPr>
    </w:p>
    <w:p w:rsidR="009E064F" w:rsidRDefault="009E064F">
      <w:pPr>
        <w:spacing w:before="120" w:after="120" w:line="320" w:lineRule="exact"/>
        <w:jc w:val="both"/>
        <w:rPr>
          <w:rFonts w:ascii="Century Gothic" w:hAnsi="Century Gothic"/>
        </w:rPr>
      </w:pPr>
    </w:p>
    <w:p w:rsidR="009E064F" w:rsidRDefault="00453CB1">
      <w:pPr>
        <w:jc w:val="both"/>
        <w:rPr>
          <w:rFonts w:ascii="Century Gothic" w:hAnsi="Century Gothic"/>
        </w:rPr>
      </w:pPr>
      <w:r>
        <w:rPr>
          <w:rFonts w:ascii="Century Gothic" w:hAnsi="Century Gothic"/>
        </w:rPr>
        <w:br w:type="page"/>
      </w:r>
    </w:p>
    <w:p w:rsidR="009E064F" w:rsidRDefault="00453CB1">
      <w:pPr>
        <w:pStyle w:val="Heading2"/>
        <w:jc w:val="both"/>
        <w:rPr>
          <w:rFonts w:ascii="Century Gothic" w:hAnsi="Century Gothic"/>
        </w:rPr>
      </w:pPr>
      <w:bookmarkStart w:id="1" w:name="_Statement_of_intent"/>
      <w:bookmarkStart w:id="2" w:name="a"/>
      <w:bookmarkEnd w:id="1"/>
      <w:r>
        <w:rPr>
          <w:rFonts w:ascii="Century Gothic" w:hAnsi="Century Gothic"/>
        </w:rPr>
        <w:lastRenderedPageBreak/>
        <w:t>Statement of intent</w:t>
      </w:r>
    </w:p>
    <w:p w:rsidR="009E064F" w:rsidRDefault="009E064F">
      <w:pPr>
        <w:jc w:val="both"/>
        <w:rPr>
          <w:rFonts w:ascii="Century Gothic" w:hAnsi="Century Gothic"/>
        </w:rPr>
      </w:pPr>
    </w:p>
    <w:bookmarkEnd w:id="2"/>
    <w:p w:rsidR="009E064F" w:rsidRDefault="00453CB1">
      <w:pPr>
        <w:spacing w:before="120" w:after="120" w:line="320" w:lineRule="exact"/>
        <w:jc w:val="both"/>
        <w:rPr>
          <w:rFonts w:ascii="Century Gothic" w:hAnsi="Century Gothic"/>
        </w:rPr>
      </w:pPr>
      <w:r>
        <w:rPr>
          <w:rFonts w:ascii="Century Gothic" w:hAnsi="Century Gothic"/>
        </w:rPr>
        <w:t xml:space="preserve">At </w:t>
      </w:r>
      <w:proofErr w:type="gramStart"/>
      <w:r>
        <w:rPr>
          <w:rFonts w:ascii="Century Gothic" w:hAnsi="Century Gothic"/>
        </w:rPr>
        <w:t>Fairfax</w:t>
      </w:r>
      <w:proofErr w:type="gramEnd"/>
      <w:r>
        <w:rPr>
          <w:rFonts w:ascii="Century Gothic" w:hAnsi="Century Gothic"/>
        </w:rPr>
        <w:t xml:space="preserve"> we are committed to closing the attainment gap between pupils from disadvantaged backgrounds and those from more affluent backgrounds, and to ensure that every young person has the opportunity to participate in and benefit f</w:t>
      </w:r>
      <w:r>
        <w:rPr>
          <w:rFonts w:ascii="Century Gothic" w:hAnsi="Century Gothic"/>
        </w:rPr>
        <w:t xml:space="preserve">rom a place in 16-19 education and training.  </w:t>
      </w:r>
    </w:p>
    <w:p w:rsidR="009E064F" w:rsidRDefault="009E064F">
      <w:pPr>
        <w:spacing w:before="120" w:after="120" w:line="320" w:lineRule="exact"/>
        <w:jc w:val="both"/>
        <w:rPr>
          <w:rFonts w:ascii="Century Gothic" w:hAnsi="Century Gothic"/>
        </w:rPr>
      </w:pPr>
    </w:p>
    <w:p w:rsidR="009E064F" w:rsidRDefault="00453CB1">
      <w:pPr>
        <w:spacing w:before="120" w:after="120" w:line="240" w:lineRule="auto"/>
        <w:jc w:val="both"/>
        <w:rPr>
          <w:rFonts w:ascii="Century Gothic" w:hAnsi="Century Gothic"/>
        </w:rPr>
      </w:pPr>
      <w:r>
        <w:rPr>
          <w:rFonts w:ascii="Century Gothic" w:hAnsi="Century Gothic"/>
        </w:rPr>
        <w:t xml:space="preserve">We are committed </w:t>
      </w:r>
      <w:proofErr w:type="gramStart"/>
      <w:r>
        <w:rPr>
          <w:rFonts w:ascii="Century Gothic" w:hAnsi="Century Gothic"/>
        </w:rPr>
        <w:t>to</w:t>
      </w:r>
      <w:proofErr w:type="gramEnd"/>
      <w:r>
        <w:rPr>
          <w:rFonts w:ascii="Century Gothic" w:hAnsi="Century Gothic"/>
        </w:rPr>
        <w:t>:</w:t>
      </w:r>
    </w:p>
    <w:p w:rsidR="009E064F" w:rsidRDefault="009E064F">
      <w:pPr>
        <w:spacing w:before="120" w:after="120" w:line="240" w:lineRule="auto"/>
        <w:jc w:val="both"/>
        <w:rPr>
          <w:rFonts w:ascii="Century Gothic" w:hAnsi="Century Gothic"/>
        </w:rPr>
      </w:pPr>
    </w:p>
    <w:p w:rsidR="009E064F" w:rsidRDefault="00453CB1">
      <w:pPr>
        <w:pStyle w:val="ListParagraph"/>
        <w:numPr>
          <w:ilvl w:val="0"/>
          <w:numId w:val="47"/>
        </w:numPr>
        <w:spacing w:before="120" w:after="120" w:line="240" w:lineRule="auto"/>
        <w:jc w:val="both"/>
        <w:rPr>
          <w:rFonts w:ascii="Century Gothic" w:hAnsi="Century Gothic"/>
        </w:rPr>
      </w:pPr>
      <w:r>
        <w:rPr>
          <w:rFonts w:ascii="Century Gothic" w:hAnsi="Century Gothic"/>
        </w:rPr>
        <w:t xml:space="preserve">The distribution of 16-19 bursaries via a fair and equal process that is transparent, accountable, and easily understood. </w:t>
      </w:r>
    </w:p>
    <w:p w:rsidR="009E064F" w:rsidRDefault="009E064F">
      <w:pPr>
        <w:pStyle w:val="ListParagraph"/>
        <w:spacing w:before="120" w:after="120" w:line="240" w:lineRule="auto"/>
        <w:jc w:val="both"/>
        <w:rPr>
          <w:rFonts w:ascii="Century Gothic" w:hAnsi="Century Gothic"/>
        </w:rPr>
      </w:pPr>
    </w:p>
    <w:p w:rsidR="009E064F" w:rsidRDefault="00453CB1">
      <w:pPr>
        <w:pStyle w:val="ListParagraph"/>
        <w:numPr>
          <w:ilvl w:val="0"/>
          <w:numId w:val="47"/>
        </w:numPr>
        <w:spacing w:before="120" w:after="120" w:line="240" w:lineRule="auto"/>
        <w:jc w:val="both"/>
        <w:rPr>
          <w:rFonts w:ascii="Century Gothic" w:hAnsi="Century Gothic"/>
        </w:rPr>
      </w:pPr>
      <w:r>
        <w:rPr>
          <w:rFonts w:ascii="Century Gothic" w:hAnsi="Century Gothic"/>
        </w:rPr>
        <w:t>Ensuring that information regarding the application, award, an</w:t>
      </w:r>
      <w:r>
        <w:rPr>
          <w:rFonts w:ascii="Century Gothic" w:hAnsi="Century Gothic"/>
        </w:rPr>
        <w:t>d administration of 16-19 bursaries is publically available via the academy website and sixth form administrator.</w:t>
      </w:r>
    </w:p>
    <w:p w:rsidR="009E064F" w:rsidRDefault="009E064F">
      <w:pPr>
        <w:pStyle w:val="ListParagraph"/>
        <w:jc w:val="both"/>
        <w:rPr>
          <w:rFonts w:ascii="Century Gothic" w:hAnsi="Century Gothic"/>
        </w:rPr>
      </w:pPr>
    </w:p>
    <w:p w:rsidR="009E064F" w:rsidRDefault="00453CB1">
      <w:pPr>
        <w:pStyle w:val="ListParagraph"/>
        <w:numPr>
          <w:ilvl w:val="0"/>
          <w:numId w:val="47"/>
        </w:numPr>
        <w:spacing w:before="120" w:after="120" w:line="240" w:lineRule="auto"/>
        <w:jc w:val="both"/>
        <w:rPr>
          <w:rFonts w:ascii="Century Gothic" w:hAnsi="Century Gothic"/>
        </w:rPr>
      </w:pPr>
      <w:r>
        <w:rPr>
          <w:rFonts w:ascii="Century Gothic" w:hAnsi="Century Gothic"/>
        </w:rPr>
        <w:t>Widening access to, and participation in, sixth form education.</w:t>
      </w:r>
    </w:p>
    <w:p w:rsidR="009E064F" w:rsidRDefault="009E064F">
      <w:pPr>
        <w:pStyle w:val="ListParagraph"/>
        <w:spacing w:before="120" w:after="120" w:line="240" w:lineRule="auto"/>
        <w:jc w:val="both"/>
        <w:rPr>
          <w:rFonts w:ascii="Century Gothic" w:hAnsi="Century Gothic"/>
        </w:rPr>
      </w:pPr>
    </w:p>
    <w:p w:rsidR="009E064F" w:rsidRDefault="00453CB1">
      <w:pPr>
        <w:pStyle w:val="ListParagraph"/>
        <w:numPr>
          <w:ilvl w:val="0"/>
          <w:numId w:val="41"/>
        </w:numPr>
        <w:spacing w:before="120" w:after="120" w:line="240" w:lineRule="auto"/>
        <w:jc w:val="both"/>
        <w:rPr>
          <w:rFonts w:ascii="Century Gothic" w:hAnsi="Century Gothic"/>
        </w:rPr>
      </w:pPr>
      <w:r>
        <w:rPr>
          <w:rFonts w:ascii="Century Gothic" w:hAnsi="Century Gothic"/>
        </w:rPr>
        <w:t>Monitoring and reviewing our policies to ensure effectiveness.</w:t>
      </w:r>
    </w:p>
    <w:p w:rsidR="009E064F" w:rsidRDefault="009E064F">
      <w:pPr>
        <w:pStyle w:val="ListParagraph"/>
        <w:spacing w:before="120" w:after="120" w:line="240" w:lineRule="auto"/>
        <w:ind w:left="1758"/>
        <w:jc w:val="both"/>
        <w:rPr>
          <w:rFonts w:ascii="Century Gothic" w:hAnsi="Century Gothic"/>
        </w:rPr>
      </w:pPr>
    </w:p>
    <w:p w:rsidR="009E064F" w:rsidRDefault="00453CB1">
      <w:pPr>
        <w:pStyle w:val="ListParagraph"/>
        <w:numPr>
          <w:ilvl w:val="0"/>
          <w:numId w:val="41"/>
        </w:numPr>
        <w:spacing w:before="120" w:after="120" w:line="240" w:lineRule="auto"/>
        <w:jc w:val="both"/>
        <w:rPr>
          <w:rFonts w:ascii="Century Gothic" w:hAnsi="Century Gothic"/>
        </w:rPr>
      </w:pPr>
      <w:r>
        <w:rPr>
          <w:rFonts w:ascii="Century Gothic" w:hAnsi="Century Gothic"/>
        </w:rPr>
        <w:t xml:space="preserve">Setting high targets and objectives to develop our culture of continuous improvement. </w:t>
      </w:r>
    </w:p>
    <w:p w:rsidR="009E064F" w:rsidRDefault="009E064F">
      <w:pPr>
        <w:pStyle w:val="ListParagraph"/>
        <w:spacing w:before="120" w:after="120" w:line="240" w:lineRule="auto"/>
        <w:ind w:left="1758"/>
        <w:jc w:val="both"/>
        <w:rPr>
          <w:rFonts w:ascii="Century Gothic" w:hAnsi="Century Gothic"/>
        </w:rPr>
      </w:pPr>
    </w:p>
    <w:p w:rsidR="009E064F" w:rsidRDefault="00453CB1">
      <w:pPr>
        <w:pStyle w:val="ListParagraph"/>
        <w:numPr>
          <w:ilvl w:val="0"/>
          <w:numId w:val="41"/>
        </w:numPr>
        <w:spacing w:before="120" w:after="120" w:line="240" w:lineRule="auto"/>
        <w:jc w:val="both"/>
        <w:rPr>
          <w:rFonts w:ascii="Century Gothic" w:hAnsi="Century Gothic"/>
        </w:rPr>
      </w:pPr>
      <w:r>
        <w:rPr>
          <w:rFonts w:ascii="Century Gothic" w:hAnsi="Century Gothic"/>
        </w:rPr>
        <w:t xml:space="preserve">Ensuring adequate resources are available to implement policies, as much as is reasonably practicable. </w:t>
      </w:r>
    </w:p>
    <w:p w:rsidR="009E064F" w:rsidRDefault="009E064F">
      <w:pPr>
        <w:pStyle w:val="ListParagraph"/>
        <w:jc w:val="both"/>
        <w:rPr>
          <w:rFonts w:ascii="Century Gothic" w:hAnsi="Century Gothic"/>
        </w:rPr>
      </w:pPr>
    </w:p>
    <w:p w:rsidR="009E064F" w:rsidRDefault="00453CB1">
      <w:pPr>
        <w:pStyle w:val="ListParagraph"/>
        <w:numPr>
          <w:ilvl w:val="0"/>
          <w:numId w:val="41"/>
        </w:numPr>
        <w:spacing w:before="120" w:after="120" w:line="240" w:lineRule="auto"/>
        <w:jc w:val="both"/>
        <w:rPr>
          <w:rFonts w:ascii="Century Gothic" w:hAnsi="Century Gothic"/>
        </w:rPr>
      </w:pPr>
      <w:r>
        <w:rPr>
          <w:rFonts w:ascii="Century Gothic" w:hAnsi="Century Gothic"/>
        </w:rPr>
        <w:t>Sharing and acquiring best practice through partnerships with n</w:t>
      </w:r>
      <w:r>
        <w:rPr>
          <w:rFonts w:ascii="Century Gothic" w:hAnsi="Century Gothic"/>
        </w:rPr>
        <w:t>eighbouring schools.</w:t>
      </w:r>
    </w:p>
    <w:p w:rsidR="009E064F" w:rsidRDefault="009E064F">
      <w:pPr>
        <w:pStyle w:val="ListParagraph"/>
        <w:jc w:val="both"/>
        <w:rPr>
          <w:rFonts w:ascii="Century Gothic" w:hAnsi="Century Gothic"/>
        </w:rPr>
      </w:pPr>
    </w:p>
    <w:p w:rsidR="009E064F" w:rsidRDefault="00453CB1">
      <w:pPr>
        <w:jc w:val="both"/>
        <w:rPr>
          <w:rFonts w:ascii="Century Gothic" w:hAnsi="Century Gothic"/>
        </w:rPr>
      </w:pPr>
      <w:r>
        <w:rPr>
          <w:rFonts w:ascii="Century Gothic" w:hAnsi="Century Gothic"/>
        </w:rPr>
        <w:br w:type="page"/>
      </w:r>
    </w:p>
    <w:p w:rsidR="009E064F" w:rsidRDefault="00453CB1">
      <w:pPr>
        <w:pStyle w:val="Heading10"/>
        <w:jc w:val="both"/>
        <w:rPr>
          <w:rFonts w:ascii="Century Gothic" w:hAnsi="Century Gothic"/>
        </w:rPr>
      </w:pPr>
      <w:bookmarkStart w:id="3" w:name="_Organisation"/>
      <w:bookmarkStart w:id="4" w:name="b"/>
      <w:bookmarkEnd w:id="3"/>
      <w:r>
        <w:rPr>
          <w:rFonts w:ascii="Century Gothic" w:hAnsi="Century Gothic"/>
        </w:rPr>
        <w:lastRenderedPageBreak/>
        <w:t>Eligibility</w:t>
      </w:r>
    </w:p>
    <w:p w:rsidR="009E064F" w:rsidRDefault="009E064F">
      <w:pPr>
        <w:jc w:val="both"/>
        <w:rPr>
          <w:rFonts w:ascii="Century Gothic" w:hAnsi="Century Gothic"/>
        </w:rPr>
      </w:pPr>
    </w:p>
    <w:bookmarkEnd w:id="4"/>
    <w:p w:rsidR="009E064F" w:rsidRDefault="00453CB1">
      <w:pPr>
        <w:jc w:val="both"/>
        <w:rPr>
          <w:rFonts w:ascii="Century Gothic" w:hAnsi="Century Gothic"/>
          <w:b/>
        </w:rPr>
      </w:pPr>
      <w:r>
        <w:rPr>
          <w:rFonts w:ascii="Century Gothic" w:hAnsi="Century Gothic"/>
          <w:b/>
        </w:rPr>
        <w:t xml:space="preserve">General </w:t>
      </w:r>
    </w:p>
    <w:p w:rsidR="009E064F" w:rsidRDefault="00453CB1">
      <w:pPr>
        <w:jc w:val="both"/>
        <w:rPr>
          <w:rFonts w:ascii="Century Gothic" w:hAnsi="Century Gothic"/>
        </w:rPr>
      </w:pPr>
      <w:r>
        <w:rPr>
          <w:rFonts w:ascii="Century Gothic" w:hAnsi="Century Gothic"/>
        </w:rPr>
        <w:t>Students must be aged 16 or over and under 19 years old on 31</w:t>
      </w:r>
      <w:r>
        <w:rPr>
          <w:rFonts w:ascii="Century Gothic" w:hAnsi="Century Gothic"/>
          <w:vertAlign w:val="superscript"/>
        </w:rPr>
        <w:t xml:space="preserve"> </w:t>
      </w:r>
      <w:r>
        <w:rPr>
          <w:rFonts w:ascii="Century Gothic" w:hAnsi="Century Gothic"/>
        </w:rPr>
        <w:t>August 2019</w:t>
      </w:r>
      <w:r>
        <w:rPr>
          <w:rFonts w:ascii="Century Gothic" w:hAnsi="Century Gothic"/>
        </w:rPr>
        <w:t xml:space="preserve"> to qualify for bursaries for the 2019/20</w:t>
      </w:r>
      <w:r>
        <w:rPr>
          <w:rFonts w:ascii="Century Gothic" w:hAnsi="Century Gothic"/>
        </w:rPr>
        <w:t xml:space="preserve"> academic year.</w:t>
      </w:r>
    </w:p>
    <w:p w:rsidR="009E064F" w:rsidRDefault="00453CB1">
      <w:pPr>
        <w:jc w:val="both"/>
        <w:rPr>
          <w:rFonts w:ascii="Century Gothic" w:hAnsi="Century Gothic"/>
          <w:color w:val="auto"/>
        </w:rPr>
      </w:pPr>
      <w:r>
        <w:rPr>
          <w:rFonts w:ascii="Century Gothic" w:hAnsi="Century Gothic"/>
          <w:color w:val="auto"/>
        </w:rPr>
        <w:t>Students aged 19 or over are only eligible to receive a discretionary bursary if</w:t>
      </w:r>
      <w:r>
        <w:rPr>
          <w:rFonts w:ascii="Century Gothic" w:hAnsi="Century Gothic"/>
          <w:color w:val="auto"/>
        </w:rPr>
        <w:t xml:space="preserve"> they are continuing on a study programme they began aged 16 to 18 (‘19+ continuers’) or have an Education, Health and Care Plan (EHCP).</w:t>
      </w:r>
    </w:p>
    <w:p w:rsidR="009E064F" w:rsidRDefault="00453CB1">
      <w:pPr>
        <w:spacing w:before="120" w:after="120" w:line="320" w:lineRule="exact"/>
        <w:jc w:val="both"/>
        <w:rPr>
          <w:rFonts w:ascii="Century Gothic" w:hAnsi="Century Gothic"/>
        </w:rPr>
      </w:pPr>
      <w:r>
        <w:rPr>
          <w:rFonts w:ascii="Century Gothic" w:hAnsi="Century Gothic"/>
        </w:rPr>
        <w:t xml:space="preserve">Fairfax operates a no-cash policy and as such, bursary payments </w:t>
      </w:r>
      <w:proofErr w:type="gramStart"/>
      <w:r>
        <w:rPr>
          <w:rFonts w:ascii="Century Gothic" w:hAnsi="Century Gothic"/>
        </w:rPr>
        <w:t>will be paid</w:t>
      </w:r>
      <w:proofErr w:type="gramEnd"/>
      <w:r>
        <w:rPr>
          <w:rFonts w:ascii="Century Gothic" w:hAnsi="Century Gothic"/>
        </w:rPr>
        <w:t xml:space="preserve"> via the BACS system (directly into the stu</w:t>
      </w:r>
      <w:r>
        <w:rPr>
          <w:rFonts w:ascii="Century Gothic" w:hAnsi="Century Gothic"/>
        </w:rPr>
        <w:t xml:space="preserve">dent’s bank account). </w:t>
      </w:r>
    </w:p>
    <w:p w:rsidR="009E064F" w:rsidRDefault="00453CB1">
      <w:pPr>
        <w:spacing w:before="120" w:after="120" w:line="320" w:lineRule="exact"/>
        <w:jc w:val="both"/>
        <w:rPr>
          <w:rFonts w:ascii="Century Gothic" w:hAnsi="Century Gothic"/>
          <w:b/>
          <w:i/>
        </w:rPr>
      </w:pPr>
      <w:r>
        <w:rPr>
          <w:rFonts w:ascii="Century Gothic" w:hAnsi="Century Gothic"/>
          <w:b/>
          <w:i/>
        </w:rPr>
        <w:t xml:space="preserve">Each student applying for a Sixth Form bursary will need to complete appendix one attached, which confirms relevant bank details that </w:t>
      </w:r>
      <w:proofErr w:type="gramStart"/>
      <w:r>
        <w:rPr>
          <w:rFonts w:ascii="Century Gothic" w:hAnsi="Century Gothic"/>
          <w:b/>
          <w:i/>
        </w:rPr>
        <w:t>can be used</w:t>
      </w:r>
      <w:proofErr w:type="gramEnd"/>
      <w:r>
        <w:rPr>
          <w:rFonts w:ascii="Century Gothic" w:hAnsi="Century Gothic"/>
          <w:b/>
          <w:i/>
        </w:rPr>
        <w:t xml:space="preserve"> by the Finance Office.</w:t>
      </w:r>
    </w:p>
    <w:p w:rsidR="009E064F" w:rsidRDefault="00453CB1">
      <w:pPr>
        <w:jc w:val="both"/>
        <w:rPr>
          <w:rFonts w:ascii="Century Gothic" w:hAnsi="Century Gothic"/>
        </w:rPr>
      </w:pPr>
      <w:r>
        <w:rPr>
          <w:rFonts w:ascii="Century Gothic" w:hAnsi="Century Gothic"/>
        </w:rPr>
        <w:t>Please note that funding for free school meals is now included w</w:t>
      </w:r>
      <w:r>
        <w:rPr>
          <w:rFonts w:ascii="Century Gothic" w:hAnsi="Century Gothic"/>
        </w:rPr>
        <w:t>ithin the Bursary funding from the Education Funding Agency; this means that where students take up the option of free school meals (FSM) following a successful application to the FSM system) then the value of those meals will be retrospectively removed fr</w:t>
      </w:r>
      <w:r>
        <w:rPr>
          <w:rFonts w:ascii="Century Gothic" w:hAnsi="Century Gothic"/>
        </w:rPr>
        <w:t>om their Bursary payment. For example, if a student is successful in their bursary application for category 2 funding, then their termly bursary payment issued in spring of 2020</w:t>
      </w:r>
      <w:r>
        <w:rPr>
          <w:rFonts w:ascii="Century Gothic" w:hAnsi="Century Gothic"/>
        </w:rPr>
        <w:t xml:space="preserve"> </w:t>
      </w:r>
      <w:proofErr w:type="gramStart"/>
      <w:r>
        <w:rPr>
          <w:rFonts w:ascii="Century Gothic" w:hAnsi="Century Gothic"/>
        </w:rPr>
        <w:t>will be reduced</w:t>
      </w:r>
      <w:proofErr w:type="gramEnd"/>
      <w:r>
        <w:rPr>
          <w:rFonts w:ascii="Century Gothic" w:hAnsi="Century Gothic"/>
        </w:rPr>
        <w:t xml:space="preserve"> by the cost of any free school meals that have been consumed d</w:t>
      </w:r>
      <w:r>
        <w:rPr>
          <w:rFonts w:ascii="Century Gothic" w:hAnsi="Century Gothic"/>
        </w:rPr>
        <w:t>uring the previous autumn term 2019</w:t>
      </w:r>
      <w:r>
        <w:rPr>
          <w:rFonts w:ascii="Century Gothic" w:hAnsi="Century Gothic"/>
        </w:rPr>
        <w:t xml:space="preserve">. </w:t>
      </w:r>
      <w:proofErr w:type="gramStart"/>
      <w:r>
        <w:rPr>
          <w:rFonts w:ascii="Century Gothic" w:hAnsi="Century Gothic"/>
        </w:rPr>
        <w:t>Also</w:t>
      </w:r>
      <w:proofErr w:type="gramEnd"/>
      <w:r>
        <w:rPr>
          <w:rFonts w:ascii="Century Gothic" w:hAnsi="Century Gothic"/>
        </w:rPr>
        <w:t>, their summer term bursary payment will be reduced by the cost of any free school meals that have been consumed during the previous spring term 2020</w:t>
      </w:r>
      <w:r>
        <w:rPr>
          <w:rFonts w:ascii="Century Gothic" w:hAnsi="Century Gothic"/>
        </w:rPr>
        <w:t>.</w:t>
      </w:r>
    </w:p>
    <w:p w:rsidR="009E064F" w:rsidRDefault="009E064F">
      <w:pPr>
        <w:spacing w:before="120" w:after="120" w:line="320" w:lineRule="exact"/>
        <w:jc w:val="both"/>
        <w:rPr>
          <w:rFonts w:ascii="Century Gothic" w:hAnsi="Century Gothic"/>
        </w:rPr>
      </w:pPr>
    </w:p>
    <w:p w:rsidR="009E064F" w:rsidRDefault="00453CB1">
      <w:pPr>
        <w:jc w:val="both"/>
        <w:rPr>
          <w:rFonts w:ascii="Century Gothic" w:hAnsi="Century Gothic"/>
          <w:b/>
        </w:rPr>
      </w:pPr>
      <w:r>
        <w:rPr>
          <w:rFonts w:ascii="Century Gothic" w:hAnsi="Century Gothic"/>
          <w:b/>
        </w:rPr>
        <w:t>Category 1</w:t>
      </w:r>
    </w:p>
    <w:p w:rsidR="009E064F" w:rsidRDefault="00453CB1">
      <w:pPr>
        <w:jc w:val="both"/>
        <w:rPr>
          <w:rFonts w:ascii="Century Gothic" w:hAnsi="Century Gothic"/>
          <w:color w:val="auto"/>
        </w:rPr>
      </w:pPr>
      <w:r>
        <w:rPr>
          <w:rFonts w:ascii="Century Gothic" w:hAnsi="Century Gothic"/>
          <w:color w:val="auto"/>
        </w:rPr>
        <w:t>The defined vulnerable groups are students who are:</w:t>
      </w:r>
    </w:p>
    <w:p w:rsidR="009E064F" w:rsidRDefault="00453CB1">
      <w:pPr>
        <w:jc w:val="both"/>
        <w:rPr>
          <w:rFonts w:ascii="Century Gothic" w:hAnsi="Century Gothic"/>
          <w:color w:val="auto"/>
        </w:rPr>
      </w:pPr>
      <w:r>
        <w:rPr>
          <w:rFonts w:ascii="Century Gothic" w:hAnsi="Century Gothic"/>
          <w:color w:val="auto"/>
        </w:rPr>
        <w:t>•</w:t>
      </w:r>
      <w:r>
        <w:rPr>
          <w:rFonts w:ascii="Century Gothic" w:hAnsi="Century Gothic"/>
          <w:color w:val="auto"/>
        </w:rPr>
        <w:tab/>
        <w:t>In care</w:t>
      </w:r>
    </w:p>
    <w:p w:rsidR="009E064F" w:rsidRDefault="00453CB1">
      <w:pPr>
        <w:jc w:val="both"/>
        <w:rPr>
          <w:rFonts w:ascii="Century Gothic" w:hAnsi="Century Gothic"/>
          <w:color w:val="auto"/>
        </w:rPr>
      </w:pPr>
      <w:r>
        <w:rPr>
          <w:rFonts w:ascii="Century Gothic" w:hAnsi="Century Gothic"/>
          <w:color w:val="auto"/>
        </w:rPr>
        <w:t>•</w:t>
      </w:r>
      <w:r>
        <w:rPr>
          <w:rFonts w:ascii="Century Gothic" w:hAnsi="Century Gothic"/>
          <w:color w:val="auto"/>
        </w:rPr>
        <w:tab/>
        <w:t>Care leavers</w:t>
      </w:r>
    </w:p>
    <w:p w:rsidR="009E064F" w:rsidRDefault="00453CB1">
      <w:pPr>
        <w:shd w:val="clear" w:color="auto" w:fill="FABF8F" w:themeFill="accent6" w:themeFillTint="99"/>
        <w:ind w:left="720" w:hanging="720"/>
        <w:jc w:val="both"/>
        <w:rPr>
          <w:rFonts w:ascii="Century Gothic" w:hAnsi="Century Gothic"/>
          <w:color w:val="auto"/>
        </w:rPr>
      </w:pPr>
      <w:r>
        <w:rPr>
          <w:rFonts w:ascii="Century Gothic" w:hAnsi="Century Gothic"/>
          <w:color w:val="auto"/>
        </w:rPr>
        <w:t>•</w:t>
      </w:r>
      <w:r>
        <w:rPr>
          <w:rFonts w:ascii="Century Gothic" w:hAnsi="Century Gothic"/>
          <w:color w:val="auto"/>
        </w:rPr>
        <w:tab/>
        <w:t xml:space="preserve">Receiving Income </w:t>
      </w:r>
      <w:proofErr w:type="gramStart"/>
      <w:r>
        <w:rPr>
          <w:rFonts w:ascii="Century Gothic" w:hAnsi="Century Gothic"/>
          <w:color w:val="auto"/>
        </w:rPr>
        <w:t>Support,</w:t>
      </w:r>
      <w:proofErr w:type="gramEnd"/>
      <w:r>
        <w:rPr>
          <w:rFonts w:ascii="Century Gothic" w:hAnsi="Century Gothic"/>
          <w:color w:val="auto"/>
        </w:rPr>
        <w:t xml:space="preserve"> or Universal Credit because they are financially supporting themselves or financially supporting themselves and someone who is dependent on them and living with them such as a child or partner.</w:t>
      </w:r>
    </w:p>
    <w:p w:rsidR="009E064F" w:rsidRDefault="00453CB1">
      <w:pPr>
        <w:shd w:val="clear" w:color="auto" w:fill="FABF8F" w:themeFill="accent6" w:themeFillTint="99"/>
        <w:ind w:left="720" w:hanging="720"/>
        <w:jc w:val="both"/>
        <w:rPr>
          <w:rFonts w:ascii="Century Gothic" w:hAnsi="Century Gothic"/>
          <w:color w:val="auto"/>
        </w:rPr>
      </w:pPr>
      <w:r>
        <w:rPr>
          <w:rFonts w:ascii="Century Gothic" w:hAnsi="Century Gothic"/>
          <w:color w:val="auto"/>
        </w:rPr>
        <w:t>•</w:t>
      </w:r>
      <w:r>
        <w:rPr>
          <w:rFonts w:ascii="Century Gothic" w:hAnsi="Century Gothic"/>
          <w:color w:val="auto"/>
        </w:rPr>
        <w:tab/>
      </w:r>
      <w:r>
        <w:rPr>
          <w:rFonts w:ascii="Century Gothic" w:hAnsi="Century Gothic"/>
          <w:color w:val="auto"/>
        </w:rPr>
        <w:t>Receiving Disability Living Allowance or Personal Independence Payments in their own right as well as Employment and Support Allowance or Universal Credit in their own right.</w:t>
      </w:r>
    </w:p>
    <w:p w:rsidR="009E064F" w:rsidRDefault="00453CB1">
      <w:pPr>
        <w:shd w:val="clear" w:color="auto" w:fill="FABF8F" w:themeFill="accent6" w:themeFillTint="99"/>
        <w:jc w:val="both"/>
        <w:rPr>
          <w:rFonts w:ascii="Century Gothic" w:hAnsi="Century Gothic"/>
          <w:color w:val="auto"/>
        </w:rPr>
      </w:pPr>
      <w:proofErr w:type="gramStart"/>
      <w:r>
        <w:rPr>
          <w:rFonts w:ascii="Century Gothic" w:hAnsi="Century Gothic"/>
          <w:color w:val="auto"/>
        </w:rPr>
        <w:t>Students who are in receipt of Income Support, Universal Credit, Disability Livin</w:t>
      </w:r>
      <w:r>
        <w:rPr>
          <w:rFonts w:ascii="Century Gothic" w:hAnsi="Century Gothic"/>
          <w:color w:val="auto"/>
        </w:rPr>
        <w:t xml:space="preserve">g Allowance, or Personal Independence Payments, as well as Employment and Support </w:t>
      </w:r>
      <w:r>
        <w:rPr>
          <w:rFonts w:ascii="Century Gothic" w:hAnsi="Century Gothic"/>
          <w:color w:val="auto"/>
        </w:rPr>
        <w:lastRenderedPageBreak/>
        <w:t>Allowance or Universal Credit in their own right, may be entitled to a bursary of up to £1,200 per academic year paid in instalments of approximately £400 at the start of eac</w:t>
      </w:r>
      <w:r>
        <w:rPr>
          <w:rFonts w:ascii="Century Gothic" w:hAnsi="Century Gothic"/>
          <w:color w:val="auto"/>
        </w:rPr>
        <w:t>h term to support the costs of transport, school meals, books and equipment to enable participation in education.</w:t>
      </w:r>
      <w:proofErr w:type="gramEnd"/>
      <w:r>
        <w:rPr>
          <w:rFonts w:ascii="Century Gothic" w:hAnsi="Century Gothic"/>
          <w:color w:val="auto"/>
        </w:rPr>
        <w:t xml:space="preserve"> </w:t>
      </w:r>
    </w:p>
    <w:p w:rsidR="009E064F" w:rsidRDefault="00453CB1">
      <w:pPr>
        <w:jc w:val="both"/>
        <w:rPr>
          <w:rFonts w:ascii="Century Gothic" w:hAnsi="Century Gothic"/>
          <w:color w:val="auto"/>
        </w:rPr>
      </w:pPr>
      <w:r>
        <w:rPr>
          <w:rFonts w:ascii="Century Gothic" w:hAnsi="Century Gothic"/>
          <w:color w:val="auto"/>
        </w:rPr>
        <w:t xml:space="preserve">Fairfax understands that vulnerable students may be harder to identify or engage in education and are less likely to be aware of the support </w:t>
      </w:r>
      <w:r>
        <w:rPr>
          <w:rFonts w:ascii="Century Gothic" w:hAnsi="Century Gothic"/>
          <w:color w:val="auto"/>
        </w:rPr>
        <w:t xml:space="preserve">available from the Bursary Fund.  Fairfax will, therefore, actively seek out and encourage vulnerable students to apply for support. </w:t>
      </w:r>
    </w:p>
    <w:p w:rsidR="009E064F" w:rsidRDefault="009E064F">
      <w:pPr>
        <w:jc w:val="both"/>
        <w:rPr>
          <w:rFonts w:ascii="Century Gothic" w:hAnsi="Century Gothic"/>
          <w:color w:val="auto"/>
        </w:rPr>
      </w:pPr>
    </w:p>
    <w:p w:rsidR="009E064F" w:rsidRDefault="00453CB1">
      <w:pPr>
        <w:jc w:val="both"/>
        <w:rPr>
          <w:rFonts w:ascii="Century Gothic" w:hAnsi="Century Gothic"/>
          <w:b/>
        </w:rPr>
      </w:pPr>
      <w:r>
        <w:rPr>
          <w:rFonts w:ascii="Century Gothic" w:hAnsi="Century Gothic"/>
          <w:b/>
        </w:rPr>
        <w:t>Category 2</w:t>
      </w:r>
    </w:p>
    <w:p w:rsidR="009E064F" w:rsidRDefault="00453CB1">
      <w:pPr>
        <w:jc w:val="both"/>
        <w:rPr>
          <w:rFonts w:ascii="Century Gothic" w:hAnsi="Century Gothic"/>
        </w:rPr>
      </w:pPr>
      <w:r>
        <w:rPr>
          <w:rFonts w:ascii="Century Gothic" w:hAnsi="Century Gothic"/>
        </w:rPr>
        <w:t xml:space="preserve">Students who are entitled to free school meals (FSMs) will automatically qualify for the bursary if they have </w:t>
      </w:r>
      <w:r>
        <w:rPr>
          <w:rFonts w:ascii="Century Gothic" w:hAnsi="Century Gothic"/>
        </w:rPr>
        <w:t xml:space="preserve">applied for FSMs online and been accepted. Please note, however it is essential that students in this particular category do still complete the application papers for the Sixth Form Bursary if they wish to apply for Bursary support. </w:t>
      </w:r>
    </w:p>
    <w:p w:rsidR="009E064F" w:rsidRDefault="00453CB1">
      <w:pPr>
        <w:jc w:val="both"/>
        <w:rPr>
          <w:rFonts w:ascii="Century Gothic" w:hAnsi="Century Gothic"/>
        </w:rPr>
      </w:pPr>
      <w:r>
        <w:rPr>
          <w:rFonts w:ascii="Century Gothic" w:hAnsi="Century Gothic"/>
        </w:rPr>
        <w:t>Although it is difficu</w:t>
      </w:r>
      <w:r>
        <w:rPr>
          <w:rFonts w:ascii="Century Gothic" w:hAnsi="Century Gothic"/>
        </w:rPr>
        <w:t>lt to confirm the amount of bursary funding until we know the number of successful applicants, it is possible to confirm that no student will receive more than £600 per year.</w:t>
      </w:r>
    </w:p>
    <w:p w:rsidR="009E064F" w:rsidRDefault="00453CB1">
      <w:pPr>
        <w:jc w:val="both"/>
        <w:rPr>
          <w:rFonts w:ascii="Century Gothic" w:hAnsi="Century Gothic"/>
        </w:rPr>
      </w:pPr>
      <w:r>
        <w:rPr>
          <w:rFonts w:ascii="Century Gothic" w:hAnsi="Century Gothic"/>
        </w:rPr>
        <w:t>Eligible students in need of support with the costs of transport, school meals, b</w:t>
      </w:r>
      <w:r>
        <w:rPr>
          <w:rFonts w:ascii="Century Gothic" w:hAnsi="Century Gothic"/>
        </w:rPr>
        <w:t>ooks, and equipment, to enable participation in education, can apply for this discretionary bursary.</w:t>
      </w:r>
    </w:p>
    <w:p w:rsidR="009E064F" w:rsidRDefault="009E064F">
      <w:pPr>
        <w:jc w:val="both"/>
        <w:rPr>
          <w:rFonts w:ascii="Century Gothic" w:hAnsi="Century Gothic"/>
        </w:rPr>
      </w:pPr>
    </w:p>
    <w:p w:rsidR="009E064F" w:rsidRDefault="00453CB1">
      <w:pPr>
        <w:jc w:val="both"/>
        <w:rPr>
          <w:rFonts w:ascii="Century Gothic" w:hAnsi="Century Gothic"/>
          <w:b/>
        </w:rPr>
      </w:pPr>
      <w:r>
        <w:rPr>
          <w:rFonts w:ascii="Century Gothic" w:hAnsi="Century Gothic"/>
          <w:b/>
        </w:rPr>
        <w:t>Category 3</w:t>
      </w:r>
    </w:p>
    <w:p w:rsidR="009E064F" w:rsidRDefault="00453CB1">
      <w:pPr>
        <w:jc w:val="both"/>
        <w:rPr>
          <w:rFonts w:ascii="Century Gothic" w:hAnsi="Century Gothic"/>
        </w:rPr>
      </w:pPr>
      <w:r>
        <w:rPr>
          <w:rFonts w:ascii="Century Gothic" w:hAnsi="Century Gothic"/>
        </w:rPr>
        <w:t>Eligible students in need of support with the costs of transport, school meals, books, and equipment, to enable participation in education, can</w:t>
      </w:r>
      <w:r>
        <w:rPr>
          <w:rFonts w:ascii="Century Gothic" w:hAnsi="Century Gothic"/>
        </w:rPr>
        <w:t xml:space="preserve"> apply for a discretionary bursary if total household income is less than £20,000. </w:t>
      </w:r>
      <w:bookmarkStart w:id="5" w:name="_Duties_of_the"/>
      <w:bookmarkEnd w:id="5"/>
      <w:r>
        <w:rPr>
          <w:rFonts w:ascii="Century Gothic" w:hAnsi="Century Gothic"/>
        </w:rPr>
        <w:t xml:space="preserve">  Although it is difficult to confirm the amount of bursary funding for this category until we know the number of successful applicants, it is possible to confirm that no st</w:t>
      </w:r>
      <w:r>
        <w:rPr>
          <w:rFonts w:ascii="Century Gothic" w:hAnsi="Century Gothic"/>
        </w:rPr>
        <w:t>udent will receive more than £300 per year.</w:t>
      </w:r>
    </w:p>
    <w:p w:rsidR="009E064F" w:rsidRDefault="00453CB1">
      <w:pPr>
        <w:jc w:val="both"/>
        <w:rPr>
          <w:rFonts w:ascii="Century Gothic" w:hAnsi="Century Gothic"/>
        </w:rPr>
      </w:pPr>
      <w:r>
        <w:rPr>
          <w:rFonts w:ascii="Century Gothic" w:hAnsi="Century Gothic"/>
        </w:rPr>
        <w:t>Household income can be evidence by receipt of a current means tested state benefit or most recent Tax Credit Award Notice confirming household income of less than £20,000; or evidence of self-employment income o</w:t>
      </w:r>
      <w:r>
        <w:rPr>
          <w:rFonts w:ascii="Century Gothic" w:hAnsi="Century Gothic"/>
        </w:rPr>
        <w:t>f less than  £20,000 (SA302 or certified accounts only) for the most recent tax year for the household.</w:t>
      </w:r>
    </w:p>
    <w:p w:rsidR="009E064F" w:rsidRDefault="009E064F">
      <w:pPr>
        <w:jc w:val="both"/>
        <w:rPr>
          <w:rFonts w:ascii="Century Gothic" w:hAnsi="Century Gothic"/>
        </w:rPr>
      </w:pPr>
    </w:p>
    <w:p w:rsidR="009E064F" w:rsidRDefault="009E064F">
      <w:pPr>
        <w:jc w:val="both"/>
        <w:rPr>
          <w:rFonts w:ascii="Century Gothic" w:hAnsi="Century Gothic"/>
        </w:rPr>
      </w:pPr>
    </w:p>
    <w:p w:rsidR="009E064F" w:rsidRDefault="009E064F">
      <w:pPr>
        <w:jc w:val="both"/>
        <w:rPr>
          <w:rFonts w:ascii="Century Gothic" w:hAnsi="Century Gothic"/>
        </w:rPr>
      </w:pPr>
    </w:p>
    <w:p w:rsidR="009E064F" w:rsidRDefault="00453CB1">
      <w:pPr>
        <w:pStyle w:val="Heading1"/>
        <w:jc w:val="both"/>
        <w:rPr>
          <w:rFonts w:ascii="Century Gothic" w:hAnsi="Century Gothic"/>
          <w:sz w:val="32"/>
          <w:szCs w:val="32"/>
        </w:rPr>
      </w:pPr>
      <w:r>
        <w:rPr>
          <w:rFonts w:ascii="Century Gothic" w:hAnsi="Century Gothic"/>
          <w:sz w:val="32"/>
          <w:szCs w:val="32"/>
        </w:rPr>
        <w:lastRenderedPageBreak/>
        <w:t>How to Apply</w:t>
      </w:r>
    </w:p>
    <w:p w:rsidR="009E064F" w:rsidRDefault="009E064F">
      <w:pPr>
        <w:jc w:val="both"/>
        <w:rPr>
          <w:rFonts w:ascii="Century Gothic" w:hAnsi="Century Gothic"/>
        </w:rPr>
      </w:pPr>
    </w:p>
    <w:p w:rsidR="009E064F" w:rsidRDefault="00453CB1">
      <w:pPr>
        <w:jc w:val="both"/>
        <w:rPr>
          <w:rFonts w:ascii="Century Gothic" w:hAnsi="Century Gothic"/>
        </w:rPr>
      </w:pPr>
      <w:r>
        <w:rPr>
          <w:rFonts w:ascii="Century Gothic" w:hAnsi="Century Gothic"/>
        </w:rPr>
        <w:t xml:space="preserve">An application form </w:t>
      </w:r>
      <w:proofErr w:type="gramStart"/>
      <w:r>
        <w:rPr>
          <w:rFonts w:ascii="Century Gothic" w:hAnsi="Century Gothic"/>
        </w:rPr>
        <w:t>can be collected from the Sixth Form Centre or downloaded from the academy website</w:t>
      </w:r>
      <w:proofErr w:type="gramEnd"/>
      <w:r>
        <w:rPr>
          <w:rFonts w:ascii="Century Gothic" w:hAnsi="Century Gothic"/>
        </w:rPr>
        <w:t>.  All applications need to be re</w:t>
      </w:r>
      <w:r>
        <w:rPr>
          <w:rFonts w:ascii="Century Gothic" w:hAnsi="Century Gothic"/>
        </w:rPr>
        <w:t xml:space="preserve">turned by </w:t>
      </w:r>
      <w:r>
        <w:rPr>
          <w:rFonts w:ascii="Century Gothic" w:hAnsi="Century Gothic"/>
          <w:b/>
        </w:rPr>
        <w:t>Friday, 18</w:t>
      </w:r>
      <w:r>
        <w:rPr>
          <w:rFonts w:ascii="Century Gothic" w:hAnsi="Century Gothic"/>
          <w:b/>
          <w:vertAlign w:val="superscript"/>
        </w:rPr>
        <w:t>th</w:t>
      </w:r>
      <w:r>
        <w:rPr>
          <w:rFonts w:ascii="Century Gothic" w:hAnsi="Century Gothic"/>
          <w:b/>
        </w:rPr>
        <w:t xml:space="preserve"> October</w:t>
      </w:r>
      <w:r>
        <w:rPr>
          <w:rFonts w:ascii="Century Gothic" w:hAnsi="Century Gothic"/>
        </w:rPr>
        <w:t xml:space="preserve"> </w:t>
      </w:r>
      <w:r>
        <w:rPr>
          <w:rFonts w:ascii="Century Gothic" w:hAnsi="Century Gothic"/>
          <w:b/>
        </w:rPr>
        <w:t>2019</w:t>
      </w:r>
      <w:r>
        <w:rPr>
          <w:rFonts w:ascii="Century Gothic" w:hAnsi="Century Gothic"/>
        </w:rPr>
        <w:t xml:space="preserve"> with all </w:t>
      </w:r>
      <w:r>
        <w:rPr>
          <w:rFonts w:ascii="Century Gothic" w:hAnsi="Century Gothic"/>
          <w:b/>
        </w:rPr>
        <w:t>original evidence attached</w:t>
      </w:r>
      <w:r>
        <w:rPr>
          <w:rFonts w:ascii="Century Gothic" w:hAnsi="Century Gothic"/>
        </w:rPr>
        <w:t xml:space="preserve"> (please see the application form for a list of evidence required).  </w:t>
      </w:r>
    </w:p>
    <w:p w:rsidR="009E064F" w:rsidRDefault="00453CB1">
      <w:pPr>
        <w:jc w:val="both"/>
        <w:rPr>
          <w:rFonts w:ascii="Century Gothic" w:hAnsi="Century Gothic"/>
        </w:rPr>
      </w:pPr>
      <w:r>
        <w:rPr>
          <w:rFonts w:ascii="Century Gothic" w:hAnsi="Century Gothic"/>
        </w:rPr>
        <w:t xml:space="preserve">Please note that applications received after </w:t>
      </w:r>
      <w:r>
        <w:rPr>
          <w:rFonts w:ascii="Century Gothic" w:hAnsi="Century Gothic"/>
          <w:b/>
        </w:rPr>
        <w:t>Friday, 18</w:t>
      </w:r>
      <w:r>
        <w:rPr>
          <w:rFonts w:ascii="Century Gothic" w:hAnsi="Century Gothic"/>
          <w:b/>
          <w:vertAlign w:val="superscript"/>
        </w:rPr>
        <w:t>th</w:t>
      </w:r>
      <w:r>
        <w:rPr>
          <w:rFonts w:ascii="Century Gothic" w:hAnsi="Century Gothic"/>
          <w:b/>
        </w:rPr>
        <w:t xml:space="preserve"> October </w:t>
      </w:r>
      <w:proofErr w:type="gramStart"/>
      <w:r>
        <w:rPr>
          <w:rFonts w:ascii="Century Gothic" w:hAnsi="Century Gothic"/>
          <w:b/>
        </w:rPr>
        <w:t>2019</w:t>
      </w:r>
      <w:r>
        <w:rPr>
          <w:rFonts w:ascii="Century Gothic" w:hAnsi="Century Gothic"/>
        </w:rPr>
        <w:t xml:space="preserve">  will</w:t>
      </w:r>
      <w:proofErr w:type="gramEnd"/>
      <w:r>
        <w:rPr>
          <w:rFonts w:ascii="Century Gothic" w:hAnsi="Century Gothic"/>
        </w:rPr>
        <w:t xml:space="preserve"> always be considered, but payments can</w:t>
      </w:r>
      <w:r>
        <w:rPr>
          <w:rFonts w:ascii="Century Gothic" w:hAnsi="Century Gothic"/>
        </w:rPr>
        <w:t>not always be backdated.  Successful applicants submitted by this deadline will receive their first payment during the autumn term, with two further payments later in the Academic year</w:t>
      </w:r>
      <w:proofErr w:type="gramStart"/>
      <w:r>
        <w:rPr>
          <w:rFonts w:ascii="Century Gothic" w:hAnsi="Century Gothic"/>
        </w:rPr>
        <w:t>;</w:t>
      </w:r>
      <w:proofErr w:type="gramEnd"/>
      <w:r>
        <w:rPr>
          <w:rFonts w:ascii="Century Gothic" w:hAnsi="Century Gothic"/>
        </w:rPr>
        <w:t xml:space="preserve"> one in the spring term of 2020</w:t>
      </w:r>
      <w:r>
        <w:rPr>
          <w:rFonts w:ascii="Century Gothic" w:hAnsi="Century Gothic"/>
        </w:rPr>
        <w:t xml:space="preserve"> and the final in the summer term of 2020</w:t>
      </w:r>
      <w:r>
        <w:rPr>
          <w:rFonts w:ascii="Century Gothic" w:hAnsi="Century Gothic"/>
        </w:rPr>
        <w:t>. Full payment of the Bursary to the student is dependent on the delivery of the conditions listed in section 5 – Conditions.</w:t>
      </w:r>
    </w:p>
    <w:p w:rsidR="009E064F" w:rsidRDefault="00453CB1">
      <w:pPr>
        <w:jc w:val="both"/>
        <w:rPr>
          <w:rFonts w:ascii="Century Gothic" w:hAnsi="Century Gothic"/>
        </w:rPr>
      </w:pPr>
      <w:r>
        <w:rPr>
          <w:rFonts w:ascii="Century Gothic" w:hAnsi="Century Gothic"/>
        </w:rPr>
        <w:t>For any late applications that are successful, payments may not commence until the following term after application, although imm</w:t>
      </w:r>
      <w:r>
        <w:rPr>
          <w:rFonts w:ascii="Century Gothic" w:hAnsi="Century Gothic"/>
        </w:rPr>
        <w:t xml:space="preserve">ediate assistance </w:t>
      </w:r>
      <w:proofErr w:type="gramStart"/>
      <w:r>
        <w:rPr>
          <w:rFonts w:ascii="Century Gothic" w:hAnsi="Century Gothic"/>
        </w:rPr>
        <w:t>may be considered</w:t>
      </w:r>
      <w:proofErr w:type="gramEnd"/>
      <w:r>
        <w:rPr>
          <w:rFonts w:ascii="Century Gothic" w:hAnsi="Century Gothic"/>
        </w:rPr>
        <w:t xml:space="preserve"> in exceptional circumstances.</w:t>
      </w:r>
    </w:p>
    <w:p w:rsidR="009E064F" w:rsidRDefault="009E064F">
      <w:pPr>
        <w:jc w:val="both"/>
        <w:rPr>
          <w:rFonts w:ascii="Century Gothic" w:hAnsi="Century Gothic"/>
        </w:rPr>
      </w:pPr>
    </w:p>
    <w:p w:rsidR="009E064F" w:rsidRDefault="00453CB1">
      <w:pPr>
        <w:pStyle w:val="Heading1"/>
        <w:numPr>
          <w:ilvl w:val="0"/>
          <w:numId w:val="0"/>
        </w:numPr>
        <w:jc w:val="both"/>
        <w:rPr>
          <w:rFonts w:ascii="Century Gothic" w:hAnsi="Century Gothic"/>
          <w:sz w:val="32"/>
        </w:rPr>
      </w:pPr>
      <w:r>
        <w:rPr>
          <w:rFonts w:ascii="Century Gothic" w:hAnsi="Century Gothic"/>
          <w:sz w:val="32"/>
        </w:rPr>
        <w:t xml:space="preserve">3. Contingency </w:t>
      </w:r>
    </w:p>
    <w:p w:rsidR="009E064F" w:rsidRDefault="009E064F">
      <w:pPr>
        <w:jc w:val="both"/>
        <w:rPr>
          <w:rFonts w:ascii="Century Gothic" w:hAnsi="Century Gothic"/>
        </w:rPr>
      </w:pPr>
    </w:p>
    <w:p w:rsidR="009E064F" w:rsidRDefault="00453CB1">
      <w:pPr>
        <w:jc w:val="both"/>
        <w:rPr>
          <w:rFonts w:ascii="Century Gothic" w:hAnsi="Century Gothic"/>
        </w:rPr>
      </w:pPr>
      <w:r>
        <w:rPr>
          <w:rFonts w:ascii="Century Gothic" w:hAnsi="Century Gothic"/>
        </w:rPr>
        <w:t xml:space="preserve">Payments from the contingency fund </w:t>
      </w:r>
      <w:proofErr w:type="gramStart"/>
      <w:r>
        <w:rPr>
          <w:rFonts w:ascii="Century Gothic" w:hAnsi="Century Gothic"/>
        </w:rPr>
        <w:t>will only be made</w:t>
      </w:r>
      <w:proofErr w:type="gramEnd"/>
      <w:r>
        <w:rPr>
          <w:rFonts w:ascii="Century Gothic" w:hAnsi="Century Gothic"/>
        </w:rPr>
        <w:t xml:space="preserve"> in exceptional circumstances on the condition that students can demonstrate an urgent financial need. </w:t>
      </w:r>
    </w:p>
    <w:p w:rsidR="009E064F" w:rsidRDefault="00453CB1">
      <w:pPr>
        <w:jc w:val="both"/>
        <w:rPr>
          <w:rFonts w:ascii="Century Gothic" w:hAnsi="Century Gothic"/>
        </w:rPr>
      </w:pPr>
      <w:r>
        <w:rPr>
          <w:rFonts w:ascii="Century Gothic" w:hAnsi="Century Gothic"/>
        </w:rPr>
        <w:t xml:space="preserve">If household income changes students can provide us with evidence of this and we can then reassess their current bursary award.  Any changes </w:t>
      </w:r>
      <w:proofErr w:type="gramStart"/>
      <w:r>
        <w:rPr>
          <w:rFonts w:ascii="Century Gothic" w:hAnsi="Century Gothic"/>
        </w:rPr>
        <w:t>will be reflected</w:t>
      </w:r>
      <w:proofErr w:type="gramEnd"/>
      <w:r>
        <w:rPr>
          <w:rFonts w:ascii="Century Gothic" w:hAnsi="Century Gothic"/>
        </w:rPr>
        <w:t xml:space="preserve"> in the following terms payment.</w:t>
      </w:r>
    </w:p>
    <w:p w:rsidR="009E064F" w:rsidRDefault="009E064F">
      <w:pPr>
        <w:jc w:val="both"/>
        <w:rPr>
          <w:rFonts w:ascii="Century Gothic" w:hAnsi="Century Gothic"/>
        </w:rPr>
      </w:pPr>
    </w:p>
    <w:p w:rsidR="009E064F" w:rsidRDefault="00453CB1">
      <w:pPr>
        <w:pStyle w:val="Heading1"/>
        <w:numPr>
          <w:ilvl w:val="0"/>
          <w:numId w:val="50"/>
        </w:numPr>
        <w:jc w:val="both"/>
        <w:rPr>
          <w:rFonts w:ascii="Century Gothic" w:hAnsi="Century Gothic"/>
          <w:sz w:val="32"/>
        </w:rPr>
      </w:pPr>
      <w:bookmarkStart w:id="6" w:name="_Duties_of_Supervisory"/>
      <w:bookmarkStart w:id="7" w:name="d"/>
      <w:bookmarkEnd w:id="6"/>
      <w:r>
        <w:rPr>
          <w:rFonts w:ascii="Century Gothic" w:hAnsi="Century Gothic"/>
          <w:sz w:val="32"/>
        </w:rPr>
        <w:t xml:space="preserve">Assessment </w:t>
      </w:r>
    </w:p>
    <w:bookmarkEnd w:id="7"/>
    <w:p w:rsidR="009E064F" w:rsidRDefault="009E064F">
      <w:pPr>
        <w:jc w:val="both"/>
        <w:rPr>
          <w:rFonts w:ascii="Century Gothic" w:hAnsi="Century Gothic"/>
        </w:rPr>
      </w:pPr>
    </w:p>
    <w:p w:rsidR="009E064F" w:rsidRDefault="00453CB1">
      <w:pPr>
        <w:jc w:val="both"/>
        <w:rPr>
          <w:rFonts w:ascii="Century Gothic" w:hAnsi="Century Gothic"/>
        </w:rPr>
      </w:pPr>
      <w:r>
        <w:rPr>
          <w:rFonts w:ascii="Century Gothic" w:hAnsi="Century Gothic"/>
        </w:rPr>
        <w:t xml:space="preserve">Fairfax will establish a Bursary Awards </w:t>
      </w:r>
      <w:proofErr w:type="gramStart"/>
      <w:r>
        <w:rPr>
          <w:rFonts w:ascii="Century Gothic" w:hAnsi="Century Gothic"/>
        </w:rPr>
        <w:t>Panel which</w:t>
      </w:r>
      <w:proofErr w:type="gramEnd"/>
      <w:r>
        <w:rPr>
          <w:rFonts w:ascii="Century Gothic" w:hAnsi="Century Gothic"/>
        </w:rPr>
        <w:t xml:space="preserve"> will assess each application for 16-19 bursaries. </w:t>
      </w:r>
    </w:p>
    <w:p w:rsidR="009E064F" w:rsidRDefault="00453CB1">
      <w:pPr>
        <w:spacing w:before="120" w:after="120" w:line="320" w:lineRule="exact"/>
        <w:jc w:val="both"/>
        <w:rPr>
          <w:rFonts w:ascii="Century Gothic" w:hAnsi="Century Gothic"/>
        </w:rPr>
      </w:pPr>
      <w:r>
        <w:rPr>
          <w:rFonts w:ascii="Century Gothic" w:hAnsi="Century Gothic"/>
        </w:rPr>
        <w:t xml:space="preserve">The Bursary Awards Panel will consist of </w:t>
      </w:r>
    </w:p>
    <w:p w:rsidR="009E064F" w:rsidRDefault="00453CB1">
      <w:pPr>
        <w:pStyle w:val="ListParagraph"/>
        <w:numPr>
          <w:ilvl w:val="0"/>
          <w:numId w:val="51"/>
        </w:numPr>
        <w:spacing w:before="120" w:after="120" w:line="320" w:lineRule="exact"/>
        <w:jc w:val="both"/>
        <w:rPr>
          <w:rFonts w:ascii="Century Gothic" w:hAnsi="Century Gothic"/>
          <w:color w:val="auto"/>
        </w:rPr>
      </w:pPr>
      <w:r>
        <w:rPr>
          <w:rFonts w:ascii="Century Gothic" w:hAnsi="Century Gothic"/>
          <w:color w:val="auto"/>
        </w:rPr>
        <w:t xml:space="preserve">the Head of Sixth Form and </w:t>
      </w:r>
    </w:p>
    <w:p w:rsidR="009E064F" w:rsidRDefault="00453CB1">
      <w:pPr>
        <w:pStyle w:val="ListParagraph"/>
        <w:numPr>
          <w:ilvl w:val="0"/>
          <w:numId w:val="51"/>
        </w:numPr>
        <w:spacing w:before="120" w:after="120" w:line="320" w:lineRule="exact"/>
        <w:jc w:val="both"/>
        <w:rPr>
          <w:rFonts w:ascii="Century Gothic" w:hAnsi="Century Gothic"/>
        </w:rPr>
      </w:pPr>
      <w:r>
        <w:rPr>
          <w:rFonts w:ascii="Century Gothic" w:hAnsi="Century Gothic"/>
        </w:rPr>
        <w:t xml:space="preserve">the Sixth Form Administrator &amp; Study Supervisor </w:t>
      </w:r>
    </w:p>
    <w:p w:rsidR="009E064F" w:rsidRDefault="00453CB1">
      <w:pPr>
        <w:spacing w:before="120" w:after="120" w:line="320" w:lineRule="exact"/>
        <w:jc w:val="both"/>
        <w:rPr>
          <w:rFonts w:ascii="Century Gothic" w:hAnsi="Century Gothic"/>
        </w:rPr>
      </w:pPr>
      <w:proofErr w:type="gramStart"/>
      <w:r>
        <w:rPr>
          <w:rFonts w:ascii="Century Gothic" w:hAnsi="Century Gothic"/>
        </w:rPr>
        <w:t>and</w:t>
      </w:r>
      <w:proofErr w:type="gramEnd"/>
      <w:r>
        <w:rPr>
          <w:rFonts w:ascii="Century Gothic" w:hAnsi="Century Gothic"/>
        </w:rPr>
        <w:t xml:space="preserve"> is accountable to the Academy Association.</w:t>
      </w:r>
    </w:p>
    <w:p w:rsidR="009E064F" w:rsidRDefault="00453CB1">
      <w:pPr>
        <w:spacing w:before="120" w:after="120" w:line="320" w:lineRule="exact"/>
        <w:jc w:val="both"/>
        <w:rPr>
          <w:rFonts w:ascii="Century Gothic" w:hAnsi="Century Gothic"/>
        </w:rPr>
      </w:pPr>
      <w:r>
        <w:rPr>
          <w:rFonts w:ascii="Century Gothic" w:hAnsi="Century Gothic"/>
        </w:rPr>
        <w:t>Students who wish to make an applicati</w:t>
      </w:r>
      <w:r>
        <w:rPr>
          <w:rFonts w:ascii="Century Gothic" w:hAnsi="Century Gothic"/>
        </w:rPr>
        <w:t xml:space="preserve">on to either the Vulnerable Students Award or the Discretionary Bursary Award (category 1, 2 or 3) should do so no later than Friday </w:t>
      </w:r>
      <w:r>
        <w:rPr>
          <w:rFonts w:ascii="Century Gothic" w:hAnsi="Century Gothic"/>
        </w:rPr>
        <w:lastRenderedPageBreak/>
        <w:t>18</w:t>
      </w:r>
      <w:r>
        <w:rPr>
          <w:rFonts w:ascii="Century Gothic" w:hAnsi="Century Gothic"/>
          <w:vertAlign w:val="superscript"/>
        </w:rPr>
        <w:t>th</w:t>
      </w:r>
      <w:r>
        <w:rPr>
          <w:rFonts w:ascii="Century Gothic" w:hAnsi="Century Gothic"/>
        </w:rPr>
        <w:t xml:space="preserve"> October 2019</w:t>
      </w:r>
      <w:r>
        <w:rPr>
          <w:rFonts w:ascii="Century Gothic" w:hAnsi="Century Gothic"/>
        </w:rPr>
        <w:t xml:space="preserve"> in order for Fairfax to assess demand and make suitable provision prior to the commencement of the academ</w:t>
      </w:r>
      <w:r>
        <w:rPr>
          <w:rFonts w:ascii="Century Gothic" w:hAnsi="Century Gothic"/>
        </w:rPr>
        <w:t xml:space="preserve">ic year. </w:t>
      </w:r>
    </w:p>
    <w:p w:rsidR="009E064F" w:rsidRDefault="00453CB1">
      <w:pPr>
        <w:spacing w:before="120" w:after="120" w:line="320" w:lineRule="exact"/>
        <w:jc w:val="both"/>
        <w:rPr>
          <w:rFonts w:ascii="Century Gothic" w:hAnsi="Century Gothic"/>
        </w:rPr>
      </w:pPr>
      <w:r>
        <w:rPr>
          <w:rFonts w:ascii="Century Gothic" w:hAnsi="Century Gothic"/>
        </w:rPr>
        <w:t>Students in receipt of either the Vulnerable Students or the Discretionary Bursary should notify Fairfax if their circumstances change.</w:t>
      </w:r>
    </w:p>
    <w:p w:rsidR="009E064F" w:rsidRDefault="009E064F">
      <w:pPr>
        <w:spacing w:before="120" w:after="120" w:line="320" w:lineRule="exact"/>
        <w:jc w:val="both"/>
        <w:rPr>
          <w:rFonts w:ascii="Century Gothic" w:hAnsi="Century Gothic"/>
        </w:rPr>
      </w:pPr>
      <w:bookmarkStart w:id="8" w:name="e"/>
    </w:p>
    <w:p w:rsidR="009E064F" w:rsidRDefault="00453CB1">
      <w:pPr>
        <w:pStyle w:val="Heading10"/>
        <w:jc w:val="both"/>
        <w:rPr>
          <w:rFonts w:ascii="Century Gothic" w:hAnsi="Century Gothic"/>
        </w:rPr>
      </w:pPr>
      <w:bookmarkStart w:id="9" w:name="_Duties_of_all"/>
      <w:bookmarkEnd w:id="9"/>
      <w:r>
        <w:rPr>
          <w:rFonts w:ascii="Century Gothic" w:hAnsi="Century Gothic"/>
        </w:rPr>
        <w:t>Conditions</w:t>
      </w:r>
    </w:p>
    <w:p w:rsidR="009E064F" w:rsidRDefault="009E064F">
      <w:pPr>
        <w:jc w:val="both"/>
        <w:rPr>
          <w:rFonts w:ascii="Century Gothic" w:hAnsi="Century Gothic"/>
        </w:rPr>
      </w:pPr>
      <w:bookmarkStart w:id="10" w:name="_Duties_of_Human"/>
      <w:bookmarkEnd w:id="8"/>
      <w:bookmarkEnd w:id="10"/>
    </w:p>
    <w:p w:rsidR="009E064F" w:rsidRDefault="00453CB1">
      <w:pPr>
        <w:jc w:val="both"/>
        <w:rPr>
          <w:rFonts w:ascii="Century Gothic" w:hAnsi="Century Gothic"/>
        </w:rPr>
      </w:pPr>
      <w:r>
        <w:rPr>
          <w:rFonts w:ascii="Century Gothic" w:hAnsi="Century Gothic"/>
        </w:rPr>
        <w:t>Students must meet the following criteria in order to receive either their Vulnerable Students or</w:t>
      </w:r>
      <w:r>
        <w:rPr>
          <w:rFonts w:ascii="Century Gothic" w:hAnsi="Century Gothic"/>
        </w:rPr>
        <w:t xml:space="preserve"> Discretionary Bursaries.</w:t>
      </w:r>
    </w:p>
    <w:p w:rsidR="009E064F" w:rsidRDefault="00453CB1">
      <w:pPr>
        <w:pStyle w:val="ListParagraph"/>
        <w:numPr>
          <w:ilvl w:val="0"/>
          <w:numId w:val="49"/>
        </w:numPr>
        <w:jc w:val="both"/>
        <w:rPr>
          <w:rFonts w:ascii="Century Gothic" w:hAnsi="Century Gothic"/>
        </w:rPr>
      </w:pPr>
      <w:r>
        <w:rPr>
          <w:rFonts w:ascii="Century Gothic" w:hAnsi="Century Gothic"/>
        </w:rPr>
        <w:t>Maintain a good record of attendance (min 95% attendance)</w:t>
      </w:r>
    </w:p>
    <w:p w:rsidR="009E064F" w:rsidRDefault="00453CB1">
      <w:pPr>
        <w:pStyle w:val="ListParagraph"/>
        <w:numPr>
          <w:ilvl w:val="0"/>
          <w:numId w:val="49"/>
        </w:numPr>
        <w:jc w:val="both"/>
        <w:rPr>
          <w:rFonts w:ascii="Century Gothic" w:hAnsi="Century Gothic"/>
        </w:rPr>
      </w:pPr>
      <w:r>
        <w:rPr>
          <w:rFonts w:ascii="Century Gothic" w:hAnsi="Century Gothic"/>
        </w:rPr>
        <w:t>Be punctual to all lessons, supervised study periods and registration</w:t>
      </w:r>
    </w:p>
    <w:p w:rsidR="009E064F" w:rsidRDefault="00453CB1">
      <w:pPr>
        <w:pStyle w:val="ListParagraph"/>
        <w:numPr>
          <w:ilvl w:val="0"/>
          <w:numId w:val="49"/>
        </w:numPr>
        <w:jc w:val="both"/>
        <w:rPr>
          <w:rFonts w:ascii="Century Gothic" w:hAnsi="Century Gothic"/>
        </w:rPr>
      </w:pPr>
      <w:r>
        <w:rPr>
          <w:rFonts w:ascii="Century Gothic" w:hAnsi="Century Gothic"/>
        </w:rPr>
        <w:t>Attend all assemblies as appropriate</w:t>
      </w:r>
    </w:p>
    <w:p w:rsidR="009E064F" w:rsidRDefault="00453CB1">
      <w:pPr>
        <w:pStyle w:val="ListParagraph"/>
        <w:numPr>
          <w:ilvl w:val="0"/>
          <w:numId w:val="49"/>
        </w:numPr>
        <w:jc w:val="both"/>
        <w:rPr>
          <w:rFonts w:ascii="Century Gothic" w:hAnsi="Century Gothic"/>
        </w:rPr>
      </w:pPr>
      <w:r>
        <w:rPr>
          <w:rFonts w:ascii="Century Gothic" w:hAnsi="Century Gothic"/>
        </w:rPr>
        <w:t>Demonstrate appropriate behaviour</w:t>
      </w:r>
    </w:p>
    <w:p w:rsidR="009E064F" w:rsidRDefault="00453CB1">
      <w:pPr>
        <w:pStyle w:val="ListParagraph"/>
        <w:numPr>
          <w:ilvl w:val="0"/>
          <w:numId w:val="49"/>
        </w:numPr>
        <w:jc w:val="both"/>
        <w:rPr>
          <w:rFonts w:ascii="Century Gothic" w:hAnsi="Century Gothic"/>
        </w:rPr>
      </w:pPr>
      <w:r>
        <w:rPr>
          <w:rFonts w:ascii="Century Gothic" w:hAnsi="Century Gothic"/>
        </w:rPr>
        <w:t>Complete a ‘Permission To Be Ab</w:t>
      </w:r>
      <w:r>
        <w:rPr>
          <w:rFonts w:ascii="Century Gothic" w:hAnsi="Century Gothic"/>
        </w:rPr>
        <w:t>sent’ form when needed</w:t>
      </w:r>
    </w:p>
    <w:p w:rsidR="009E064F" w:rsidRDefault="00453CB1">
      <w:pPr>
        <w:pStyle w:val="ListParagraph"/>
        <w:numPr>
          <w:ilvl w:val="0"/>
          <w:numId w:val="49"/>
        </w:numPr>
        <w:jc w:val="both"/>
        <w:rPr>
          <w:rFonts w:ascii="Century Gothic" w:hAnsi="Century Gothic"/>
        </w:rPr>
      </w:pPr>
      <w:r>
        <w:rPr>
          <w:rFonts w:ascii="Century Gothic" w:hAnsi="Century Gothic"/>
        </w:rPr>
        <w:t>Make satisfactory progress against targets</w:t>
      </w:r>
    </w:p>
    <w:p w:rsidR="009E064F" w:rsidRDefault="00453CB1">
      <w:pPr>
        <w:pStyle w:val="ListParagraph"/>
        <w:numPr>
          <w:ilvl w:val="0"/>
          <w:numId w:val="49"/>
        </w:numPr>
        <w:jc w:val="both"/>
        <w:rPr>
          <w:rFonts w:ascii="Century Gothic" w:hAnsi="Century Gothic"/>
        </w:rPr>
      </w:pPr>
      <w:r>
        <w:rPr>
          <w:rFonts w:ascii="Century Gothic" w:hAnsi="Century Gothic"/>
        </w:rPr>
        <w:t xml:space="preserve">At the end of each term, complete a form which records how the award was used to support education e.g. travel costs, </w:t>
      </w:r>
      <w:proofErr w:type="gramStart"/>
      <w:r>
        <w:rPr>
          <w:rFonts w:ascii="Century Gothic" w:hAnsi="Century Gothic"/>
        </w:rPr>
        <w:t>text books</w:t>
      </w:r>
      <w:proofErr w:type="gramEnd"/>
      <w:r>
        <w:rPr>
          <w:rFonts w:ascii="Century Gothic" w:hAnsi="Century Gothic"/>
        </w:rPr>
        <w:t xml:space="preserve">, school trips, etc. </w:t>
      </w:r>
    </w:p>
    <w:p w:rsidR="009E064F" w:rsidRDefault="00453CB1">
      <w:pPr>
        <w:jc w:val="both"/>
        <w:rPr>
          <w:rFonts w:ascii="Century Gothic" w:hAnsi="Century Gothic"/>
          <w:b/>
          <w:color w:val="auto"/>
        </w:rPr>
      </w:pPr>
      <w:r>
        <w:rPr>
          <w:rFonts w:ascii="Century Gothic" w:hAnsi="Century Gothic"/>
          <w:b/>
          <w:color w:val="auto"/>
        </w:rPr>
        <w:t xml:space="preserve">Failure to complete and submit an accurate record of spends and receipts may result in future payments </w:t>
      </w:r>
      <w:proofErr w:type="gramStart"/>
      <w:r>
        <w:rPr>
          <w:rFonts w:ascii="Century Gothic" w:hAnsi="Century Gothic"/>
          <w:b/>
          <w:color w:val="auto"/>
        </w:rPr>
        <w:t>being held</w:t>
      </w:r>
      <w:proofErr w:type="gramEnd"/>
      <w:r>
        <w:rPr>
          <w:rFonts w:ascii="Century Gothic" w:hAnsi="Century Gothic"/>
          <w:b/>
          <w:color w:val="auto"/>
        </w:rPr>
        <w:t xml:space="preserve"> back until we receive the completed record and receipts of evidence.</w:t>
      </w:r>
    </w:p>
    <w:p w:rsidR="009E064F" w:rsidRDefault="00453CB1">
      <w:pPr>
        <w:jc w:val="both"/>
        <w:rPr>
          <w:rFonts w:ascii="Century Gothic" w:hAnsi="Century Gothic"/>
          <w:b/>
          <w:color w:val="auto"/>
        </w:rPr>
      </w:pPr>
      <w:r>
        <w:rPr>
          <w:rFonts w:ascii="Century Gothic" w:hAnsi="Century Gothic"/>
          <w:b/>
          <w:color w:val="auto"/>
        </w:rPr>
        <w:t>Receipts are required as evidence of any single purchase item over the va</w:t>
      </w:r>
      <w:r>
        <w:rPr>
          <w:rFonts w:ascii="Century Gothic" w:hAnsi="Century Gothic"/>
          <w:b/>
          <w:color w:val="auto"/>
        </w:rPr>
        <w:t xml:space="preserve">lue of £50.  Accurate records of how the funds are utilised is a requirement and if not provided, could result in future payments </w:t>
      </w:r>
      <w:proofErr w:type="gramStart"/>
      <w:r>
        <w:rPr>
          <w:rFonts w:ascii="Century Gothic" w:hAnsi="Century Gothic"/>
          <w:b/>
          <w:color w:val="auto"/>
        </w:rPr>
        <w:t>being withheld</w:t>
      </w:r>
      <w:proofErr w:type="gramEnd"/>
      <w:r>
        <w:rPr>
          <w:rFonts w:ascii="Century Gothic" w:hAnsi="Century Gothic"/>
          <w:b/>
          <w:color w:val="auto"/>
        </w:rPr>
        <w:t>.</w:t>
      </w:r>
    </w:p>
    <w:p w:rsidR="009E064F" w:rsidRDefault="00453CB1">
      <w:pPr>
        <w:jc w:val="both"/>
        <w:rPr>
          <w:rFonts w:ascii="Century Gothic" w:hAnsi="Century Gothic"/>
        </w:rPr>
      </w:pPr>
      <w:r>
        <w:rPr>
          <w:rFonts w:ascii="Century Gothic" w:hAnsi="Century Gothic"/>
        </w:rPr>
        <w:t>Fraudulent claims for bursary allocations will be referred to the police and students found making false claim</w:t>
      </w:r>
      <w:r>
        <w:rPr>
          <w:rFonts w:ascii="Century Gothic" w:hAnsi="Century Gothic"/>
        </w:rPr>
        <w:t xml:space="preserve">s </w:t>
      </w:r>
      <w:proofErr w:type="gramStart"/>
      <w:r>
        <w:rPr>
          <w:rFonts w:ascii="Century Gothic" w:hAnsi="Century Gothic"/>
        </w:rPr>
        <w:t>will</w:t>
      </w:r>
      <w:proofErr w:type="gramEnd"/>
      <w:r>
        <w:rPr>
          <w:rFonts w:ascii="Century Gothic" w:hAnsi="Century Gothic"/>
        </w:rPr>
        <w:t xml:space="preserve"> be required to refund all payments received.</w:t>
      </w:r>
    </w:p>
    <w:p w:rsidR="009E064F" w:rsidRDefault="009E064F">
      <w:pPr>
        <w:jc w:val="both"/>
        <w:rPr>
          <w:rFonts w:ascii="Century Gothic" w:hAnsi="Century Gothic"/>
        </w:rPr>
      </w:pPr>
    </w:p>
    <w:p w:rsidR="009E064F" w:rsidRDefault="00453CB1">
      <w:pPr>
        <w:pStyle w:val="Heading1"/>
        <w:jc w:val="both"/>
        <w:rPr>
          <w:rFonts w:ascii="Century Gothic" w:hAnsi="Century Gothic"/>
          <w:sz w:val="32"/>
        </w:rPr>
      </w:pPr>
      <w:bookmarkStart w:id="11" w:name="f"/>
      <w:r>
        <w:rPr>
          <w:rFonts w:ascii="Century Gothic" w:hAnsi="Century Gothic"/>
          <w:sz w:val="32"/>
        </w:rPr>
        <w:t>Appeals</w:t>
      </w:r>
      <w:bookmarkEnd w:id="11"/>
    </w:p>
    <w:p w:rsidR="009E064F" w:rsidRDefault="009E064F">
      <w:pPr>
        <w:jc w:val="both"/>
        <w:rPr>
          <w:rFonts w:ascii="Century Gothic" w:hAnsi="Century Gothic"/>
        </w:rPr>
      </w:pPr>
    </w:p>
    <w:p w:rsidR="009E064F" w:rsidRDefault="00453CB1">
      <w:pPr>
        <w:spacing w:before="120" w:after="120" w:line="320" w:lineRule="exact"/>
        <w:jc w:val="both"/>
        <w:rPr>
          <w:rFonts w:ascii="Century Gothic" w:hAnsi="Century Gothic"/>
        </w:rPr>
      </w:pPr>
      <w:r>
        <w:rPr>
          <w:rFonts w:ascii="Century Gothic" w:hAnsi="Century Gothic"/>
        </w:rPr>
        <w:t>Fairfax will establish a Bursary Appeals Panel consisting of the Head of Academy and a member of the Academy Association, to consider appeals relating to the award or administration of 16-19 bur</w:t>
      </w:r>
      <w:r>
        <w:rPr>
          <w:rFonts w:ascii="Century Gothic" w:hAnsi="Century Gothic"/>
        </w:rPr>
        <w:t xml:space="preserve">saries. </w:t>
      </w:r>
    </w:p>
    <w:p w:rsidR="009E064F" w:rsidRDefault="00453CB1">
      <w:pPr>
        <w:spacing w:before="120" w:after="120" w:line="320" w:lineRule="exact"/>
        <w:jc w:val="both"/>
        <w:rPr>
          <w:rFonts w:ascii="Century Gothic" w:hAnsi="Century Gothic"/>
        </w:rPr>
      </w:pPr>
      <w:r>
        <w:rPr>
          <w:rFonts w:ascii="Century Gothic" w:hAnsi="Century Gothic"/>
        </w:rPr>
        <w:t xml:space="preserve">Students who appeal to the Bursary Appeals Panel should outline their reasons why a decision was incorrect with specific reference to the circumstances, attendance and/or behaviour standards that determined the original decision.    </w:t>
      </w:r>
    </w:p>
    <w:p w:rsidR="009E064F" w:rsidRDefault="00453CB1">
      <w:pPr>
        <w:spacing w:before="120" w:after="120" w:line="320" w:lineRule="exact"/>
        <w:jc w:val="both"/>
        <w:rPr>
          <w:rFonts w:ascii="Century Gothic" w:hAnsi="Century Gothic"/>
        </w:rPr>
      </w:pPr>
      <w:r>
        <w:rPr>
          <w:rFonts w:ascii="Century Gothic" w:hAnsi="Century Gothic"/>
        </w:rPr>
        <w:lastRenderedPageBreak/>
        <w:t>The Bursary A</w:t>
      </w:r>
      <w:r>
        <w:rPr>
          <w:rFonts w:ascii="Century Gothic" w:hAnsi="Century Gothic"/>
        </w:rPr>
        <w:t xml:space="preserve">ppeals Panel will consider and respond to appeals within two weeks of receipt. If the appeal </w:t>
      </w:r>
      <w:proofErr w:type="gramStart"/>
      <w:r>
        <w:rPr>
          <w:rFonts w:ascii="Century Gothic" w:hAnsi="Century Gothic"/>
        </w:rPr>
        <w:t>is up</w:t>
      </w:r>
      <w:bookmarkStart w:id="12" w:name="_GoBack"/>
      <w:bookmarkEnd w:id="12"/>
      <w:r>
        <w:rPr>
          <w:rFonts w:ascii="Century Gothic" w:hAnsi="Century Gothic"/>
        </w:rPr>
        <w:t>held</w:t>
      </w:r>
      <w:proofErr w:type="gramEnd"/>
      <w:r>
        <w:rPr>
          <w:rFonts w:ascii="Century Gothic" w:hAnsi="Century Gothic"/>
        </w:rPr>
        <w:t xml:space="preserve">, it will be referred back to the Bursary Awards Panel with recommendations.  </w:t>
      </w:r>
    </w:p>
    <w:p w:rsidR="009E064F" w:rsidRDefault="00453CB1">
      <w:pPr>
        <w:spacing w:before="120" w:after="120" w:line="320" w:lineRule="exact"/>
        <w:jc w:val="both"/>
        <w:rPr>
          <w:rFonts w:ascii="Century Gothic" w:hAnsi="Century Gothic"/>
        </w:rPr>
      </w:pPr>
      <w:r>
        <w:rPr>
          <w:rFonts w:ascii="Century Gothic" w:hAnsi="Century Gothic"/>
        </w:rPr>
        <w:t>If the appeal is not upheld the appealing party will be directed to the Sch</w:t>
      </w:r>
      <w:r>
        <w:rPr>
          <w:rFonts w:ascii="Century Gothic" w:hAnsi="Century Gothic"/>
        </w:rPr>
        <w:t xml:space="preserve">ool’s Complaint Procedure. </w:t>
      </w:r>
      <w:r>
        <w:rPr>
          <w:rFonts w:ascii="Century Gothic" w:hAnsi="Century Gothic"/>
        </w:rPr>
        <w:cr/>
      </w:r>
    </w:p>
    <w:p w:rsidR="009E064F" w:rsidRDefault="009E064F">
      <w:pPr>
        <w:spacing w:before="120" w:after="120" w:line="320" w:lineRule="exact"/>
        <w:jc w:val="both"/>
        <w:rPr>
          <w:rFonts w:ascii="Century Gothic" w:hAnsi="Century Gothic"/>
        </w:rPr>
      </w:pPr>
    </w:p>
    <w:p w:rsidR="009E064F" w:rsidRDefault="00453CB1">
      <w:pPr>
        <w:pStyle w:val="Heading1"/>
        <w:jc w:val="both"/>
        <w:rPr>
          <w:rFonts w:ascii="Century Gothic" w:hAnsi="Century Gothic"/>
          <w:sz w:val="32"/>
        </w:rPr>
      </w:pPr>
      <w:bookmarkStart w:id="13" w:name="g"/>
      <w:r>
        <w:rPr>
          <w:rFonts w:ascii="Century Gothic" w:hAnsi="Century Gothic"/>
          <w:sz w:val="32"/>
        </w:rPr>
        <w:t>Review</w:t>
      </w:r>
    </w:p>
    <w:bookmarkEnd w:id="13"/>
    <w:p w:rsidR="009E064F" w:rsidRDefault="009E064F">
      <w:pPr>
        <w:jc w:val="both"/>
        <w:rPr>
          <w:rFonts w:ascii="Century Gothic" w:hAnsi="Century Gothic"/>
        </w:rPr>
      </w:pPr>
    </w:p>
    <w:p w:rsidR="009E064F" w:rsidRDefault="00453CB1">
      <w:pPr>
        <w:jc w:val="both"/>
        <w:rPr>
          <w:rFonts w:ascii="Century Gothic" w:hAnsi="Century Gothic"/>
        </w:rPr>
      </w:pPr>
      <w:r>
        <w:rPr>
          <w:rFonts w:ascii="Century Gothic" w:hAnsi="Century Gothic"/>
        </w:rPr>
        <w:t xml:space="preserve">The 16-19 bursary policy </w:t>
      </w:r>
      <w:proofErr w:type="gramStart"/>
      <w:r>
        <w:rPr>
          <w:rFonts w:ascii="Century Gothic" w:hAnsi="Century Gothic"/>
        </w:rPr>
        <w:t>will be reviewed</w:t>
      </w:r>
      <w:proofErr w:type="gramEnd"/>
      <w:r>
        <w:rPr>
          <w:rFonts w:ascii="Century Gothic" w:hAnsi="Century Gothic"/>
        </w:rPr>
        <w:t xml:space="preserve"> on an annual basis, taking into account the views of Fairfax School, young people, the governing body report, and statutory guidance from the Department for Education (</w:t>
      </w:r>
      <w:proofErr w:type="spellStart"/>
      <w:r>
        <w:rPr>
          <w:rFonts w:ascii="Century Gothic" w:hAnsi="Century Gothic"/>
        </w:rPr>
        <w:t>DfE</w:t>
      </w:r>
      <w:proofErr w:type="spellEnd"/>
      <w:r>
        <w:rPr>
          <w:rFonts w:ascii="Century Gothic" w:hAnsi="Century Gothic"/>
        </w:rPr>
        <w:t>) and</w:t>
      </w:r>
      <w:r>
        <w:rPr>
          <w:rFonts w:ascii="Century Gothic" w:hAnsi="Century Gothic"/>
        </w:rPr>
        <w:t xml:space="preserve"> the Education Funding Agency (EFA).</w:t>
      </w:r>
    </w:p>
    <w:sectPr w:rsidR="009E064F">
      <w:footerReference w:type="default" r:id="rId10"/>
      <w:footerReference w:type="first" r:id="rId1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64F" w:rsidRDefault="00453CB1">
      <w:pPr>
        <w:spacing w:after="0" w:line="240" w:lineRule="auto"/>
      </w:pPr>
      <w:r>
        <w:separator/>
      </w:r>
    </w:p>
  </w:endnote>
  <w:endnote w:type="continuationSeparator" w:id="0">
    <w:p w:rsidR="009E064F" w:rsidRDefault="0045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810786"/>
      <w:docPartObj>
        <w:docPartGallery w:val="Page Numbers (Bottom of Page)"/>
        <w:docPartUnique/>
      </w:docPartObj>
    </w:sdtPr>
    <w:sdtEndPr>
      <w:rPr>
        <w:noProof/>
      </w:rPr>
    </w:sdtEndPr>
    <w:sdtContent>
      <w:p w:rsidR="009E064F" w:rsidRDefault="00453CB1">
        <w:pPr>
          <w:pStyle w:val="Footer"/>
          <w:ind w:left="4513" w:firstLine="4513"/>
        </w:pPr>
        <w:r>
          <w:fldChar w:fldCharType="begin"/>
        </w:r>
        <w:r>
          <w:instrText xml:space="preserve"> PAGE   \* MERGEFORMAT </w:instrText>
        </w:r>
        <w:r>
          <w:fldChar w:fldCharType="separate"/>
        </w:r>
        <w:r>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64F" w:rsidRDefault="00453CB1">
    <w:pPr>
      <w:pStyle w:val="Footer"/>
    </w:pPr>
    <w:r>
      <w:fldChar w:fldCharType="begin"/>
    </w:r>
    <w:r>
      <w:instrText xml:space="preserve"> DATE \@ "dd MMMM yyyy" </w:instrText>
    </w:r>
    <w:r>
      <w:fldChar w:fldCharType="separate"/>
    </w:r>
    <w:r>
      <w:rPr>
        <w:noProof/>
      </w:rPr>
      <w:t>04 September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64F" w:rsidRDefault="00453CB1">
      <w:pPr>
        <w:spacing w:after="0" w:line="240" w:lineRule="auto"/>
      </w:pPr>
      <w:r>
        <w:separator/>
      </w:r>
    </w:p>
  </w:footnote>
  <w:footnote w:type="continuationSeparator" w:id="0">
    <w:p w:rsidR="009E064F" w:rsidRDefault="00453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8C625E"/>
    <w:multiLevelType w:val="multilevel"/>
    <w:tmpl w:val="D98E97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AD52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1155EA"/>
    <w:multiLevelType w:val="multilevel"/>
    <w:tmpl w:val="6286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468AD"/>
    <w:multiLevelType w:val="multilevel"/>
    <w:tmpl w:val="FA6EE130"/>
    <w:lvl w:ilvl="0">
      <w:start w:val="1"/>
      <w:numFmt w:val="decimal"/>
      <w:lvlText w:val="%1."/>
      <w:lvlJc w:val="left"/>
      <w:pPr>
        <w:ind w:left="360" w:hanging="360"/>
      </w:pPr>
      <w:rPr>
        <w:rFonts w:hint="default"/>
        <w:b/>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0F9151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2553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FB4553"/>
    <w:multiLevelType w:val="multilevel"/>
    <w:tmpl w:val="7BC471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6F5E49"/>
    <w:multiLevelType w:val="multilevel"/>
    <w:tmpl w:val="DF82FE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952025D"/>
    <w:multiLevelType w:val="multilevel"/>
    <w:tmpl w:val="76F88DB0"/>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D22433"/>
    <w:multiLevelType w:val="multilevel"/>
    <w:tmpl w:val="780CE7C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9A28DF"/>
    <w:multiLevelType w:val="multilevel"/>
    <w:tmpl w:val="47D4EA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DF915B2"/>
    <w:multiLevelType w:val="hybridMultilevel"/>
    <w:tmpl w:val="FB881208"/>
    <w:lvl w:ilvl="0" w:tplc="0809000F">
      <w:start w:val="1"/>
      <w:numFmt w:val="decimal"/>
      <w:lvlText w:val="%1."/>
      <w:lvlJc w:val="left"/>
      <w:pPr>
        <w:ind w:left="2630" w:hanging="360"/>
      </w:pPr>
    </w:lvl>
    <w:lvl w:ilvl="1" w:tplc="08090019" w:tentative="1">
      <w:start w:val="1"/>
      <w:numFmt w:val="lowerLetter"/>
      <w:lvlText w:val="%2."/>
      <w:lvlJc w:val="left"/>
      <w:pPr>
        <w:ind w:left="3350" w:hanging="360"/>
      </w:pPr>
    </w:lvl>
    <w:lvl w:ilvl="2" w:tplc="0809001B" w:tentative="1">
      <w:start w:val="1"/>
      <w:numFmt w:val="lowerRoman"/>
      <w:lvlText w:val="%3."/>
      <w:lvlJc w:val="right"/>
      <w:pPr>
        <w:ind w:left="4070" w:hanging="180"/>
      </w:pPr>
    </w:lvl>
    <w:lvl w:ilvl="3" w:tplc="0809000F" w:tentative="1">
      <w:start w:val="1"/>
      <w:numFmt w:val="decimal"/>
      <w:lvlText w:val="%4."/>
      <w:lvlJc w:val="left"/>
      <w:pPr>
        <w:ind w:left="4790" w:hanging="360"/>
      </w:pPr>
    </w:lvl>
    <w:lvl w:ilvl="4" w:tplc="08090019" w:tentative="1">
      <w:start w:val="1"/>
      <w:numFmt w:val="lowerLetter"/>
      <w:lvlText w:val="%5."/>
      <w:lvlJc w:val="left"/>
      <w:pPr>
        <w:ind w:left="5510" w:hanging="360"/>
      </w:pPr>
    </w:lvl>
    <w:lvl w:ilvl="5" w:tplc="0809001B" w:tentative="1">
      <w:start w:val="1"/>
      <w:numFmt w:val="lowerRoman"/>
      <w:lvlText w:val="%6."/>
      <w:lvlJc w:val="right"/>
      <w:pPr>
        <w:ind w:left="6230" w:hanging="180"/>
      </w:pPr>
    </w:lvl>
    <w:lvl w:ilvl="6" w:tplc="0809000F" w:tentative="1">
      <w:start w:val="1"/>
      <w:numFmt w:val="decimal"/>
      <w:lvlText w:val="%7."/>
      <w:lvlJc w:val="left"/>
      <w:pPr>
        <w:ind w:left="6950" w:hanging="360"/>
      </w:pPr>
    </w:lvl>
    <w:lvl w:ilvl="7" w:tplc="08090019" w:tentative="1">
      <w:start w:val="1"/>
      <w:numFmt w:val="lowerLetter"/>
      <w:lvlText w:val="%8."/>
      <w:lvlJc w:val="left"/>
      <w:pPr>
        <w:ind w:left="7670" w:hanging="360"/>
      </w:pPr>
    </w:lvl>
    <w:lvl w:ilvl="8" w:tplc="0809001B" w:tentative="1">
      <w:start w:val="1"/>
      <w:numFmt w:val="lowerRoman"/>
      <w:lvlText w:val="%9."/>
      <w:lvlJc w:val="right"/>
      <w:pPr>
        <w:ind w:left="8390" w:hanging="180"/>
      </w:pPr>
    </w:lvl>
  </w:abstractNum>
  <w:abstractNum w:abstractNumId="13" w15:restartNumberingAfterBreak="0">
    <w:nsid w:val="205A580C"/>
    <w:multiLevelType w:val="multilevel"/>
    <w:tmpl w:val="FA6EE130"/>
    <w:lvl w:ilvl="0">
      <w:start w:val="1"/>
      <w:numFmt w:val="decimal"/>
      <w:lvlText w:val="%1."/>
      <w:lvlJc w:val="left"/>
      <w:pPr>
        <w:ind w:left="360" w:hanging="360"/>
      </w:pPr>
      <w:rPr>
        <w:rFonts w:hint="default"/>
        <w:b/>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4" w15:restartNumberingAfterBreak="0">
    <w:nsid w:val="27105A0F"/>
    <w:multiLevelType w:val="multilevel"/>
    <w:tmpl w:val="6A20A8A2"/>
    <w:lvl w:ilvl="0">
      <w:start w:val="11"/>
      <w:numFmt w:val="decimal"/>
      <w:lvlText w:val="%1."/>
      <w:lvlJc w:val="left"/>
      <w:pPr>
        <w:ind w:left="360" w:hanging="360"/>
      </w:pPr>
      <w:rPr>
        <w:rFonts w:hint="default"/>
        <w:b/>
      </w:rPr>
    </w:lvl>
    <w:lvl w:ilvl="1">
      <w:start w:val="10"/>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5" w15:restartNumberingAfterBreak="0">
    <w:nsid w:val="2EC32BA1"/>
    <w:multiLevelType w:val="multilevel"/>
    <w:tmpl w:val="FA6EE130"/>
    <w:lvl w:ilvl="0">
      <w:start w:val="1"/>
      <w:numFmt w:val="decimal"/>
      <w:lvlText w:val="%1."/>
      <w:lvlJc w:val="left"/>
      <w:pPr>
        <w:ind w:left="360" w:hanging="360"/>
      </w:pPr>
      <w:rPr>
        <w:rFonts w:hint="default"/>
        <w:b/>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6" w15:restartNumberingAfterBreak="0">
    <w:nsid w:val="2EE26069"/>
    <w:multiLevelType w:val="multilevel"/>
    <w:tmpl w:val="0D4C90C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294B21"/>
    <w:multiLevelType w:val="multilevel"/>
    <w:tmpl w:val="780CE7C8"/>
    <w:lvl w:ilvl="0">
      <w:start w:val="2"/>
      <w:numFmt w:val="decimal"/>
      <w:lvlText w:val="%1."/>
      <w:lvlJc w:val="left"/>
      <w:pPr>
        <w:ind w:left="1080" w:hanging="360"/>
      </w:pPr>
      <w:rPr>
        <w:rFonts w:hint="default"/>
      </w:rPr>
    </w:lvl>
    <w:lvl w:ilvl="1">
      <w:start w:val="1"/>
      <w:numFmt w:val="decimal"/>
      <w:lvlText w:val="%1.%2."/>
      <w:lvlJc w:val="left"/>
      <w:pPr>
        <w:ind w:left="1512" w:hanging="432"/>
      </w:pPr>
      <w:rPr>
        <w:rFonts w:hint="default"/>
        <w:b/>
        <w:sz w:val="28"/>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34CB059E"/>
    <w:multiLevelType w:val="multilevel"/>
    <w:tmpl w:val="FA6EE130"/>
    <w:lvl w:ilvl="0">
      <w:start w:val="1"/>
      <w:numFmt w:val="decimal"/>
      <w:lvlText w:val="%1."/>
      <w:lvlJc w:val="left"/>
      <w:pPr>
        <w:ind w:left="360" w:hanging="360"/>
      </w:pPr>
      <w:rPr>
        <w:rFonts w:hint="default"/>
        <w:b/>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9" w15:restartNumberingAfterBreak="0">
    <w:nsid w:val="35F95C66"/>
    <w:multiLevelType w:val="multilevel"/>
    <w:tmpl w:val="8F6C8AFC"/>
    <w:lvl w:ilvl="0">
      <w:start w:val="1"/>
      <w:numFmt w:val="decimal"/>
      <w:lvlText w:val="%1."/>
      <w:lvlJc w:val="left"/>
      <w:pPr>
        <w:ind w:left="786" w:hanging="360"/>
      </w:pPr>
      <w:rPr>
        <w:rFonts w:hint="default"/>
        <w:b/>
      </w:rPr>
    </w:lvl>
    <w:lvl w:ilvl="1">
      <w:start w:val="2"/>
      <w:numFmt w:val="decimal"/>
      <w:isLgl/>
      <w:lvlText w:val="%1.%2"/>
      <w:lvlJc w:val="left"/>
      <w:pPr>
        <w:ind w:left="1800" w:hanging="360"/>
      </w:pPr>
      <w:rPr>
        <w:rFonts w:hint="default"/>
        <w:b/>
        <w:color w:val="auto"/>
        <w:sz w:val="20"/>
      </w:rPr>
    </w:lvl>
    <w:lvl w:ilvl="2">
      <w:start w:val="1"/>
      <w:numFmt w:val="decimal"/>
      <w:isLgl/>
      <w:lvlText w:val="%1.%2.%3"/>
      <w:lvlJc w:val="left"/>
      <w:pPr>
        <w:ind w:left="3240" w:hanging="720"/>
      </w:pPr>
      <w:rPr>
        <w:rFonts w:hint="default"/>
        <w:b/>
        <w:sz w:val="20"/>
      </w:rPr>
    </w:lvl>
    <w:lvl w:ilvl="3">
      <w:start w:val="1"/>
      <w:numFmt w:val="decimal"/>
      <w:isLgl/>
      <w:lvlText w:val="%1.%2.%3.%4"/>
      <w:lvlJc w:val="left"/>
      <w:pPr>
        <w:ind w:left="4320" w:hanging="720"/>
      </w:pPr>
      <w:rPr>
        <w:rFonts w:hint="default"/>
        <w:b/>
        <w:sz w:val="20"/>
      </w:rPr>
    </w:lvl>
    <w:lvl w:ilvl="4">
      <w:start w:val="1"/>
      <w:numFmt w:val="decimal"/>
      <w:isLgl/>
      <w:lvlText w:val="%1.%2.%3.%4.%5"/>
      <w:lvlJc w:val="left"/>
      <w:pPr>
        <w:ind w:left="5760" w:hanging="1080"/>
      </w:pPr>
      <w:rPr>
        <w:rFonts w:hint="default"/>
        <w:b/>
        <w:sz w:val="20"/>
      </w:rPr>
    </w:lvl>
    <w:lvl w:ilvl="5">
      <w:start w:val="1"/>
      <w:numFmt w:val="decimal"/>
      <w:isLgl/>
      <w:lvlText w:val="%1.%2.%3.%4.%5.%6"/>
      <w:lvlJc w:val="left"/>
      <w:pPr>
        <w:ind w:left="6840" w:hanging="1080"/>
      </w:pPr>
      <w:rPr>
        <w:rFonts w:hint="default"/>
        <w:b/>
        <w:sz w:val="20"/>
      </w:rPr>
    </w:lvl>
    <w:lvl w:ilvl="6">
      <w:start w:val="1"/>
      <w:numFmt w:val="decimal"/>
      <w:isLgl/>
      <w:lvlText w:val="%1.%2.%3.%4.%5.%6.%7"/>
      <w:lvlJc w:val="left"/>
      <w:pPr>
        <w:ind w:left="8280" w:hanging="1440"/>
      </w:pPr>
      <w:rPr>
        <w:rFonts w:hint="default"/>
        <w:b/>
        <w:sz w:val="20"/>
      </w:rPr>
    </w:lvl>
    <w:lvl w:ilvl="7">
      <w:start w:val="1"/>
      <w:numFmt w:val="decimal"/>
      <w:isLgl/>
      <w:lvlText w:val="%1.%2.%3.%4.%5.%6.%7.%8"/>
      <w:lvlJc w:val="left"/>
      <w:pPr>
        <w:ind w:left="9360" w:hanging="1440"/>
      </w:pPr>
      <w:rPr>
        <w:rFonts w:hint="default"/>
        <w:b/>
        <w:sz w:val="20"/>
      </w:rPr>
    </w:lvl>
    <w:lvl w:ilvl="8">
      <w:start w:val="1"/>
      <w:numFmt w:val="decimal"/>
      <w:isLgl/>
      <w:lvlText w:val="%1.%2.%3.%4.%5.%6.%7.%8.%9"/>
      <w:lvlJc w:val="left"/>
      <w:pPr>
        <w:ind w:left="10440" w:hanging="1440"/>
      </w:pPr>
      <w:rPr>
        <w:rFonts w:hint="default"/>
        <w:b/>
        <w:sz w:val="20"/>
      </w:rPr>
    </w:lvl>
  </w:abstractNum>
  <w:abstractNum w:abstractNumId="20" w15:restartNumberingAfterBreak="0">
    <w:nsid w:val="3AD369F8"/>
    <w:multiLevelType w:val="multilevel"/>
    <w:tmpl w:val="37D2BB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09D7C06"/>
    <w:multiLevelType w:val="multilevel"/>
    <w:tmpl w:val="A4C0E7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43733FC"/>
    <w:multiLevelType w:val="hybridMultilevel"/>
    <w:tmpl w:val="2F0E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42666"/>
    <w:multiLevelType w:val="multilevel"/>
    <w:tmpl w:val="8F6C8AFC"/>
    <w:lvl w:ilvl="0">
      <w:start w:val="1"/>
      <w:numFmt w:val="decimal"/>
      <w:lvlText w:val="%1."/>
      <w:lvlJc w:val="left"/>
      <w:pPr>
        <w:ind w:left="786" w:hanging="360"/>
      </w:pPr>
      <w:rPr>
        <w:rFonts w:hint="default"/>
        <w:b/>
      </w:rPr>
    </w:lvl>
    <w:lvl w:ilvl="1">
      <w:start w:val="2"/>
      <w:numFmt w:val="decimal"/>
      <w:isLgl/>
      <w:lvlText w:val="%1.%2"/>
      <w:lvlJc w:val="left"/>
      <w:pPr>
        <w:ind w:left="1800" w:hanging="360"/>
      </w:pPr>
      <w:rPr>
        <w:rFonts w:hint="default"/>
        <w:b/>
        <w:color w:val="auto"/>
        <w:sz w:val="20"/>
      </w:rPr>
    </w:lvl>
    <w:lvl w:ilvl="2">
      <w:start w:val="1"/>
      <w:numFmt w:val="decimal"/>
      <w:isLgl/>
      <w:lvlText w:val="%1.%2.%3"/>
      <w:lvlJc w:val="left"/>
      <w:pPr>
        <w:ind w:left="3240" w:hanging="720"/>
      </w:pPr>
      <w:rPr>
        <w:rFonts w:hint="default"/>
        <w:b/>
        <w:sz w:val="20"/>
      </w:rPr>
    </w:lvl>
    <w:lvl w:ilvl="3">
      <w:start w:val="1"/>
      <w:numFmt w:val="decimal"/>
      <w:isLgl/>
      <w:lvlText w:val="%1.%2.%3.%4"/>
      <w:lvlJc w:val="left"/>
      <w:pPr>
        <w:ind w:left="4320" w:hanging="720"/>
      </w:pPr>
      <w:rPr>
        <w:rFonts w:hint="default"/>
        <w:b/>
        <w:sz w:val="20"/>
      </w:rPr>
    </w:lvl>
    <w:lvl w:ilvl="4">
      <w:start w:val="1"/>
      <w:numFmt w:val="decimal"/>
      <w:isLgl/>
      <w:lvlText w:val="%1.%2.%3.%4.%5"/>
      <w:lvlJc w:val="left"/>
      <w:pPr>
        <w:ind w:left="5760" w:hanging="1080"/>
      </w:pPr>
      <w:rPr>
        <w:rFonts w:hint="default"/>
        <w:b/>
        <w:sz w:val="20"/>
      </w:rPr>
    </w:lvl>
    <w:lvl w:ilvl="5">
      <w:start w:val="1"/>
      <w:numFmt w:val="decimal"/>
      <w:isLgl/>
      <w:lvlText w:val="%1.%2.%3.%4.%5.%6"/>
      <w:lvlJc w:val="left"/>
      <w:pPr>
        <w:ind w:left="6840" w:hanging="1080"/>
      </w:pPr>
      <w:rPr>
        <w:rFonts w:hint="default"/>
        <w:b/>
        <w:sz w:val="20"/>
      </w:rPr>
    </w:lvl>
    <w:lvl w:ilvl="6">
      <w:start w:val="1"/>
      <w:numFmt w:val="decimal"/>
      <w:isLgl/>
      <w:lvlText w:val="%1.%2.%3.%4.%5.%6.%7"/>
      <w:lvlJc w:val="left"/>
      <w:pPr>
        <w:ind w:left="8280" w:hanging="1440"/>
      </w:pPr>
      <w:rPr>
        <w:rFonts w:hint="default"/>
        <w:b/>
        <w:sz w:val="20"/>
      </w:rPr>
    </w:lvl>
    <w:lvl w:ilvl="7">
      <w:start w:val="1"/>
      <w:numFmt w:val="decimal"/>
      <w:isLgl/>
      <w:lvlText w:val="%1.%2.%3.%4.%5.%6.%7.%8"/>
      <w:lvlJc w:val="left"/>
      <w:pPr>
        <w:ind w:left="9360" w:hanging="1440"/>
      </w:pPr>
      <w:rPr>
        <w:rFonts w:hint="default"/>
        <w:b/>
        <w:sz w:val="20"/>
      </w:rPr>
    </w:lvl>
    <w:lvl w:ilvl="8">
      <w:start w:val="1"/>
      <w:numFmt w:val="decimal"/>
      <w:isLgl/>
      <w:lvlText w:val="%1.%2.%3.%4.%5.%6.%7.%8.%9"/>
      <w:lvlJc w:val="left"/>
      <w:pPr>
        <w:ind w:left="10440" w:hanging="1440"/>
      </w:pPr>
      <w:rPr>
        <w:rFonts w:hint="default"/>
        <w:b/>
        <w:sz w:val="20"/>
      </w:rPr>
    </w:lvl>
  </w:abstractNum>
  <w:abstractNum w:abstractNumId="24" w15:restartNumberingAfterBreak="0">
    <w:nsid w:val="46A73F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D12F2E"/>
    <w:multiLevelType w:val="hybridMultilevel"/>
    <w:tmpl w:val="670A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56F06"/>
    <w:multiLevelType w:val="multilevel"/>
    <w:tmpl w:val="B112A7BA"/>
    <w:lvl w:ilvl="0">
      <w:start w:val="1"/>
      <w:numFmt w:val="decimal"/>
      <w:lvlText w:val="%1."/>
      <w:lvlJc w:val="left"/>
      <w:pPr>
        <w:ind w:left="360" w:hanging="360"/>
      </w:pPr>
      <w:rPr>
        <w:rFonts w:hint="default"/>
        <w:b/>
        <w:sz w:val="28"/>
        <w:szCs w:val="28"/>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7" w15:restartNumberingAfterBreak="0">
    <w:nsid w:val="4BF1309D"/>
    <w:multiLevelType w:val="multilevel"/>
    <w:tmpl w:val="483E00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CA803D6"/>
    <w:multiLevelType w:val="hybridMultilevel"/>
    <w:tmpl w:val="A934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43D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FD1D6B"/>
    <w:multiLevelType w:val="multilevel"/>
    <w:tmpl w:val="A8C055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2963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D73981"/>
    <w:multiLevelType w:val="multilevel"/>
    <w:tmpl w:val="A3D0FA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D38068C"/>
    <w:multiLevelType w:val="multilevel"/>
    <w:tmpl w:val="B8EA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686244"/>
    <w:multiLevelType w:val="multilevel"/>
    <w:tmpl w:val="4B9060E0"/>
    <w:lvl w:ilvl="0">
      <w:start w:val="1"/>
      <w:numFmt w:val="decimal"/>
      <w:lvlText w:val="%1."/>
      <w:lvlJc w:val="left"/>
      <w:pPr>
        <w:ind w:left="1080" w:hanging="360"/>
      </w:pPr>
      <w:rPr>
        <w:color w:val="auto"/>
        <w:sz w:val="28"/>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6A7850FC"/>
    <w:multiLevelType w:val="hybridMultilevel"/>
    <w:tmpl w:val="2F9A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9C36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255656"/>
    <w:multiLevelType w:val="hybridMultilevel"/>
    <w:tmpl w:val="42E82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712C29"/>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9" w15:restartNumberingAfterBreak="0">
    <w:nsid w:val="710F2D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824890"/>
    <w:multiLevelType w:val="multilevel"/>
    <w:tmpl w:val="EF983DAE"/>
    <w:lvl w:ilvl="0">
      <w:start w:val="1"/>
      <w:numFmt w:val="decimal"/>
      <w:lvlText w:val="%1."/>
      <w:lvlJc w:val="left"/>
      <w:pPr>
        <w:ind w:left="360" w:hanging="360"/>
      </w:pPr>
    </w:lvl>
    <w:lvl w:ilvl="1">
      <w:start w:val="1"/>
      <w:numFmt w:val="decimal"/>
      <w:lvlText w:val="%1.%2."/>
      <w:lvlJc w:val="left"/>
      <w:pPr>
        <w:ind w:left="792" w:hanging="432"/>
      </w:pPr>
      <w:rPr>
        <w:b/>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263826"/>
    <w:multiLevelType w:val="multilevel"/>
    <w:tmpl w:val="8F6C8AFC"/>
    <w:lvl w:ilvl="0">
      <w:start w:val="1"/>
      <w:numFmt w:val="decimal"/>
      <w:lvlText w:val="%1."/>
      <w:lvlJc w:val="left"/>
      <w:pPr>
        <w:ind w:left="1080" w:hanging="360"/>
      </w:pPr>
      <w:rPr>
        <w:rFonts w:hint="default"/>
        <w:b/>
      </w:rPr>
    </w:lvl>
    <w:lvl w:ilvl="1">
      <w:start w:val="2"/>
      <w:numFmt w:val="decimal"/>
      <w:isLgl/>
      <w:lvlText w:val="%1.%2"/>
      <w:lvlJc w:val="left"/>
      <w:pPr>
        <w:ind w:left="2094" w:hanging="360"/>
      </w:pPr>
      <w:rPr>
        <w:rFonts w:hint="default"/>
        <w:b/>
        <w:color w:val="auto"/>
        <w:sz w:val="20"/>
      </w:rPr>
    </w:lvl>
    <w:lvl w:ilvl="2">
      <w:start w:val="1"/>
      <w:numFmt w:val="decimal"/>
      <w:isLgl/>
      <w:lvlText w:val="%1.%2.%3"/>
      <w:lvlJc w:val="left"/>
      <w:pPr>
        <w:ind w:left="3534" w:hanging="720"/>
      </w:pPr>
      <w:rPr>
        <w:rFonts w:hint="default"/>
        <w:b/>
        <w:sz w:val="20"/>
      </w:rPr>
    </w:lvl>
    <w:lvl w:ilvl="3">
      <w:start w:val="1"/>
      <w:numFmt w:val="decimal"/>
      <w:isLgl/>
      <w:lvlText w:val="%1.%2.%3.%4"/>
      <w:lvlJc w:val="left"/>
      <w:pPr>
        <w:ind w:left="4614" w:hanging="720"/>
      </w:pPr>
      <w:rPr>
        <w:rFonts w:hint="default"/>
        <w:b/>
        <w:sz w:val="20"/>
      </w:rPr>
    </w:lvl>
    <w:lvl w:ilvl="4">
      <w:start w:val="1"/>
      <w:numFmt w:val="decimal"/>
      <w:isLgl/>
      <w:lvlText w:val="%1.%2.%3.%4.%5"/>
      <w:lvlJc w:val="left"/>
      <w:pPr>
        <w:ind w:left="6054" w:hanging="1080"/>
      </w:pPr>
      <w:rPr>
        <w:rFonts w:hint="default"/>
        <w:b/>
        <w:sz w:val="20"/>
      </w:rPr>
    </w:lvl>
    <w:lvl w:ilvl="5">
      <w:start w:val="1"/>
      <w:numFmt w:val="decimal"/>
      <w:isLgl/>
      <w:lvlText w:val="%1.%2.%3.%4.%5.%6"/>
      <w:lvlJc w:val="left"/>
      <w:pPr>
        <w:ind w:left="7134" w:hanging="1080"/>
      </w:pPr>
      <w:rPr>
        <w:rFonts w:hint="default"/>
        <w:b/>
        <w:sz w:val="20"/>
      </w:rPr>
    </w:lvl>
    <w:lvl w:ilvl="6">
      <w:start w:val="1"/>
      <w:numFmt w:val="decimal"/>
      <w:isLgl/>
      <w:lvlText w:val="%1.%2.%3.%4.%5.%6.%7"/>
      <w:lvlJc w:val="left"/>
      <w:pPr>
        <w:ind w:left="8574" w:hanging="1440"/>
      </w:pPr>
      <w:rPr>
        <w:rFonts w:hint="default"/>
        <w:b/>
        <w:sz w:val="20"/>
      </w:rPr>
    </w:lvl>
    <w:lvl w:ilvl="7">
      <w:start w:val="1"/>
      <w:numFmt w:val="decimal"/>
      <w:isLgl/>
      <w:lvlText w:val="%1.%2.%3.%4.%5.%6.%7.%8"/>
      <w:lvlJc w:val="left"/>
      <w:pPr>
        <w:ind w:left="9654" w:hanging="1440"/>
      </w:pPr>
      <w:rPr>
        <w:rFonts w:hint="default"/>
        <w:b/>
        <w:sz w:val="20"/>
      </w:rPr>
    </w:lvl>
    <w:lvl w:ilvl="8">
      <w:start w:val="1"/>
      <w:numFmt w:val="decimal"/>
      <w:isLgl/>
      <w:lvlText w:val="%1.%2.%3.%4.%5.%6.%7.%8.%9"/>
      <w:lvlJc w:val="left"/>
      <w:pPr>
        <w:ind w:left="10734" w:hanging="1440"/>
      </w:pPr>
      <w:rPr>
        <w:rFonts w:hint="default"/>
        <w:b/>
        <w:sz w:val="20"/>
      </w:rPr>
    </w:lvl>
  </w:abstractNum>
  <w:abstractNum w:abstractNumId="42" w15:restartNumberingAfterBreak="0">
    <w:nsid w:val="740E2147"/>
    <w:multiLevelType w:val="hybridMultilevel"/>
    <w:tmpl w:val="C440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D30B85"/>
    <w:multiLevelType w:val="hybridMultilevel"/>
    <w:tmpl w:val="FB881208"/>
    <w:lvl w:ilvl="0" w:tplc="0809000F">
      <w:start w:val="1"/>
      <w:numFmt w:val="decimal"/>
      <w:lvlText w:val="%1."/>
      <w:lvlJc w:val="left"/>
      <w:pPr>
        <w:ind w:left="2630" w:hanging="360"/>
      </w:pPr>
    </w:lvl>
    <w:lvl w:ilvl="1" w:tplc="08090019" w:tentative="1">
      <w:start w:val="1"/>
      <w:numFmt w:val="lowerLetter"/>
      <w:lvlText w:val="%2."/>
      <w:lvlJc w:val="left"/>
      <w:pPr>
        <w:ind w:left="3350" w:hanging="360"/>
      </w:pPr>
    </w:lvl>
    <w:lvl w:ilvl="2" w:tplc="0809001B" w:tentative="1">
      <w:start w:val="1"/>
      <w:numFmt w:val="lowerRoman"/>
      <w:lvlText w:val="%3."/>
      <w:lvlJc w:val="right"/>
      <w:pPr>
        <w:ind w:left="4070" w:hanging="180"/>
      </w:pPr>
    </w:lvl>
    <w:lvl w:ilvl="3" w:tplc="0809000F" w:tentative="1">
      <w:start w:val="1"/>
      <w:numFmt w:val="decimal"/>
      <w:lvlText w:val="%4."/>
      <w:lvlJc w:val="left"/>
      <w:pPr>
        <w:ind w:left="4790" w:hanging="360"/>
      </w:pPr>
    </w:lvl>
    <w:lvl w:ilvl="4" w:tplc="08090019" w:tentative="1">
      <w:start w:val="1"/>
      <w:numFmt w:val="lowerLetter"/>
      <w:lvlText w:val="%5."/>
      <w:lvlJc w:val="left"/>
      <w:pPr>
        <w:ind w:left="5510" w:hanging="360"/>
      </w:pPr>
    </w:lvl>
    <w:lvl w:ilvl="5" w:tplc="0809001B" w:tentative="1">
      <w:start w:val="1"/>
      <w:numFmt w:val="lowerRoman"/>
      <w:lvlText w:val="%6."/>
      <w:lvlJc w:val="right"/>
      <w:pPr>
        <w:ind w:left="6230" w:hanging="180"/>
      </w:pPr>
    </w:lvl>
    <w:lvl w:ilvl="6" w:tplc="0809000F" w:tentative="1">
      <w:start w:val="1"/>
      <w:numFmt w:val="decimal"/>
      <w:lvlText w:val="%7."/>
      <w:lvlJc w:val="left"/>
      <w:pPr>
        <w:ind w:left="6950" w:hanging="360"/>
      </w:pPr>
    </w:lvl>
    <w:lvl w:ilvl="7" w:tplc="08090019" w:tentative="1">
      <w:start w:val="1"/>
      <w:numFmt w:val="lowerLetter"/>
      <w:lvlText w:val="%8."/>
      <w:lvlJc w:val="left"/>
      <w:pPr>
        <w:ind w:left="7670" w:hanging="360"/>
      </w:pPr>
    </w:lvl>
    <w:lvl w:ilvl="8" w:tplc="0809001B" w:tentative="1">
      <w:start w:val="1"/>
      <w:numFmt w:val="lowerRoman"/>
      <w:lvlText w:val="%9."/>
      <w:lvlJc w:val="right"/>
      <w:pPr>
        <w:ind w:left="8390" w:hanging="180"/>
      </w:pPr>
    </w:lvl>
  </w:abstractNum>
  <w:abstractNum w:abstractNumId="44" w15:restartNumberingAfterBreak="0">
    <w:nsid w:val="775719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226CD4"/>
    <w:multiLevelType w:val="multilevel"/>
    <w:tmpl w:val="7E38CB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9D41A54"/>
    <w:multiLevelType w:val="multilevel"/>
    <w:tmpl w:val="8F6C8AFC"/>
    <w:lvl w:ilvl="0">
      <w:start w:val="1"/>
      <w:numFmt w:val="decimal"/>
      <w:lvlText w:val="%1."/>
      <w:lvlJc w:val="left"/>
      <w:pPr>
        <w:ind w:left="786" w:hanging="360"/>
      </w:pPr>
      <w:rPr>
        <w:rFonts w:hint="default"/>
        <w:b/>
      </w:rPr>
    </w:lvl>
    <w:lvl w:ilvl="1">
      <w:start w:val="2"/>
      <w:numFmt w:val="decimal"/>
      <w:isLgl/>
      <w:lvlText w:val="%1.%2"/>
      <w:lvlJc w:val="left"/>
      <w:pPr>
        <w:ind w:left="1800" w:hanging="360"/>
      </w:pPr>
      <w:rPr>
        <w:rFonts w:hint="default"/>
        <w:b/>
        <w:color w:val="auto"/>
        <w:sz w:val="20"/>
      </w:rPr>
    </w:lvl>
    <w:lvl w:ilvl="2">
      <w:start w:val="1"/>
      <w:numFmt w:val="decimal"/>
      <w:isLgl/>
      <w:lvlText w:val="%1.%2.%3"/>
      <w:lvlJc w:val="left"/>
      <w:pPr>
        <w:ind w:left="3240" w:hanging="720"/>
      </w:pPr>
      <w:rPr>
        <w:rFonts w:hint="default"/>
        <w:b/>
        <w:sz w:val="20"/>
      </w:rPr>
    </w:lvl>
    <w:lvl w:ilvl="3">
      <w:start w:val="1"/>
      <w:numFmt w:val="decimal"/>
      <w:isLgl/>
      <w:lvlText w:val="%1.%2.%3.%4"/>
      <w:lvlJc w:val="left"/>
      <w:pPr>
        <w:ind w:left="4320" w:hanging="720"/>
      </w:pPr>
      <w:rPr>
        <w:rFonts w:hint="default"/>
        <w:b/>
        <w:sz w:val="20"/>
      </w:rPr>
    </w:lvl>
    <w:lvl w:ilvl="4">
      <w:start w:val="1"/>
      <w:numFmt w:val="decimal"/>
      <w:isLgl/>
      <w:lvlText w:val="%1.%2.%3.%4.%5"/>
      <w:lvlJc w:val="left"/>
      <w:pPr>
        <w:ind w:left="5760" w:hanging="1080"/>
      </w:pPr>
      <w:rPr>
        <w:rFonts w:hint="default"/>
        <w:b/>
        <w:sz w:val="20"/>
      </w:rPr>
    </w:lvl>
    <w:lvl w:ilvl="5">
      <w:start w:val="1"/>
      <w:numFmt w:val="decimal"/>
      <w:isLgl/>
      <w:lvlText w:val="%1.%2.%3.%4.%5.%6"/>
      <w:lvlJc w:val="left"/>
      <w:pPr>
        <w:ind w:left="6840" w:hanging="1080"/>
      </w:pPr>
      <w:rPr>
        <w:rFonts w:hint="default"/>
        <w:b/>
        <w:sz w:val="20"/>
      </w:rPr>
    </w:lvl>
    <w:lvl w:ilvl="6">
      <w:start w:val="1"/>
      <w:numFmt w:val="decimal"/>
      <w:isLgl/>
      <w:lvlText w:val="%1.%2.%3.%4.%5.%6.%7"/>
      <w:lvlJc w:val="left"/>
      <w:pPr>
        <w:ind w:left="8280" w:hanging="1440"/>
      </w:pPr>
      <w:rPr>
        <w:rFonts w:hint="default"/>
        <w:b/>
        <w:sz w:val="20"/>
      </w:rPr>
    </w:lvl>
    <w:lvl w:ilvl="7">
      <w:start w:val="1"/>
      <w:numFmt w:val="decimal"/>
      <w:isLgl/>
      <w:lvlText w:val="%1.%2.%3.%4.%5.%6.%7.%8"/>
      <w:lvlJc w:val="left"/>
      <w:pPr>
        <w:ind w:left="9360" w:hanging="1440"/>
      </w:pPr>
      <w:rPr>
        <w:rFonts w:hint="default"/>
        <w:b/>
        <w:sz w:val="20"/>
      </w:rPr>
    </w:lvl>
    <w:lvl w:ilvl="8">
      <w:start w:val="1"/>
      <w:numFmt w:val="decimal"/>
      <w:isLgl/>
      <w:lvlText w:val="%1.%2.%3.%4.%5.%6.%7.%8.%9"/>
      <w:lvlJc w:val="left"/>
      <w:pPr>
        <w:ind w:left="10440" w:hanging="1440"/>
      </w:pPr>
      <w:rPr>
        <w:rFonts w:hint="default"/>
        <w:b/>
        <w:sz w:val="20"/>
      </w:rPr>
    </w:lvl>
  </w:abstractNum>
  <w:abstractNum w:abstractNumId="47" w15:restartNumberingAfterBreak="0">
    <w:nsid w:val="7C5A56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D7449D"/>
    <w:multiLevelType w:val="multilevel"/>
    <w:tmpl w:val="8F6C8AFC"/>
    <w:lvl w:ilvl="0">
      <w:start w:val="1"/>
      <w:numFmt w:val="decimal"/>
      <w:lvlText w:val="%1."/>
      <w:lvlJc w:val="left"/>
      <w:pPr>
        <w:ind w:left="1080" w:hanging="360"/>
      </w:pPr>
      <w:rPr>
        <w:rFonts w:hint="default"/>
        <w:b/>
      </w:rPr>
    </w:lvl>
    <w:lvl w:ilvl="1">
      <w:start w:val="2"/>
      <w:numFmt w:val="decimal"/>
      <w:isLgl/>
      <w:lvlText w:val="%1.%2"/>
      <w:lvlJc w:val="left"/>
      <w:pPr>
        <w:ind w:left="2094" w:hanging="360"/>
      </w:pPr>
      <w:rPr>
        <w:rFonts w:hint="default"/>
        <w:b/>
        <w:color w:val="auto"/>
        <w:sz w:val="20"/>
      </w:rPr>
    </w:lvl>
    <w:lvl w:ilvl="2">
      <w:start w:val="1"/>
      <w:numFmt w:val="decimal"/>
      <w:isLgl/>
      <w:lvlText w:val="%1.%2.%3"/>
      <w:lvlJc w:val="left"/>
      <w:pPr>
        <w:ind w:left="3534" w:hanging="720"/>
      </w:pPr>
      <w:rPr>
        <w:rFonts w:hint="default"/>
        <w:b/>
        <w:sz w:val="20"/>
      </w:rPr>
    </w:lvl>
    <w:lvl w:ilvl="3">
      <w:start w:val="1"/>
      <w:numFmt w:val="decimal"/>
      <w:isLgl/>
      <w:lvlText w:val="%1.%2.%3.%4"/>
      <w:lvlJc w:val="left"/>
      <w:pPr>
        <w:ind w:left="4614" w:hanging="720"/>
      </w:pPr>
      <w:rPr>
        <w:rFonts w:hint="default"/>
        <w:b/>
        <w:sz w:val="20"/>
      </w:rPr>
    </w:lvl>
    <w:lvl w:ilvl="4">
      <w:start w:val="1"/>
      <w:numFmt w:val="decimal"/>
      <w:isLgl/>
      <w:lvlText w:val="%1.%2.%3.%4.%5"/>
      <w:lvlJc w:val="left"/>
      <w:pPr>
        <w:ind w:left="6054" w:hanging="1080"/>
      </w:pPr>
      <w:rPr>
        <w:rFonts w:hint="default"/>
        <w:b/>
        <w:sz w:val="20"/>
      </w:rPr>
    </w:lvl>
    <w:lvl w:ilvl="5">
      <w:start w:val="1"/>
      <w:numFmt w:val="decimal"/>
      <w:isLgl/>
      <w:lvlText w:val="%1.%2.%3.%4.%5.%6"/>
      <w:lvlJc w:val="left"/>
      <w:pPr>
        <w:ind w:left="7134" w:hanging="1080"/>
      </w:pPr>
      <w:rPr>
        <w:rFonts w:hint="default"/>
        <w:b/>
        <w:sz w:val="20"/>
      </w:rPr>
    </w:lvl>
    <w:lvl w:ilvl="6">
      <w:start w:val="1"/>
      <w:numFmt w:val="decimal"/>
      <w:isLgl/>
      <w:lvlText w:val="%1.%2.%3.%4.%5.%6.%7"/>
      <w:lvlJc w:val="left"/>
      <w:pPr>
        <w:ind w:left="8574" w:hanging="1440"/>
      </w:pPr>
      <w:rPr>
        <w:rFonts w:hint="default"/>
        <w:b/>
        <w:sz w:val="20"/>
      </w:rPr>
    </w:lvl>
    <w:lvl w:ilvl="7">
      <w:start w:val="1"/>
      <w:numFmt w:val="decimal"/>
      <w:isLgl/>
      <w:lvlText w:val="%1.%2.%3.%4.%5.%6.%7.%8"/>
      <w:lvlJc w:val="left"/>
      <w:pPr>
        <w:ind w:left="9654" w:hanging="1440"/>
      </w:pPr>
      <w:rPr>
        <w:rFonts w:hint="default"/>
        <w:b/>
        <w:sz w:val="20"/>
      </w:rPr>
    </w:lvl>
    <w:lvl w:ilvl="8">
      <w:start w:val="1"/>
      <w:numFmt w:val="decimal"/>
      <w:isLgl/>
      <w:lvlText w:val="%1.%2.%3.%4.%5.%6.%7.%8.%9"/>
      <w:lvlJc w:val="left"/>
      <w:pPr>
        <w:ind w:left="10734" w:hanging="1440"/>
      </w:pPr>
      <w:rPr>
        <w:rFonts w:hint="default"/>
        <w:b/>
        <w:sz w:val="20"/>
      </w:rPr>
    </w:lvl>
  </w:abstractNum>
  <w:num w:numId="1">
    <w:abstractNumId w:val="35"/>
  </w:num>
  <w:num w:numId="2">
    <w:abstractNumId w:val="2"/>
  </w:num>
  <w:num w:numId="3">
    <w:abstractNumId w:val="29"/>
  </w:num>
  <w:num w:numId="4">
    <w:abstractNumId w:val="37"/>
  </w:num>
  <w:num w:numId="5">
    <w:abstractNumId w:val="10"/>
  </w:num>
  <w:num w:numId="6">
    <w:abstractNumId w:val="7"/>
  </w:num>
  <w:num w:numId="7">
    <w:abstractNumId w:val="24"/>
  </w:num>
  <w:num w:numId="8">
    <w:abstractNumId w:val="47"/>
  </w:num>
  <w:num w:numId="9">
    <w:abstractNumId w:val="31"/>
  </w:num>
  <w:num w:numId="10">
    <w:abstractNumId w:val="36"/>
  </w:num>
  <w:num w:numId="11">
    <w:abstractNumId w:val="6"/>
  </w:num>
  <w:num w:numId="12">
    <w:abstractNumId w:val="46"/>
  </w:num>
  <w:num w:numId="13">
    <w:abstractNumId w:val="39"/>
  </w:num>
  <w:num w:numId="14">
    <w:abstractNumId w:val="44"/>
  </w:num>
  <w:num w:numId="15">
    <w:abstractNumId w:val="40"/>
  </w:num>
  <w:num w:numId="16">
    <w:abstractNumId w:val="9"/>
  </w:num>
  <w:num w:numId="17">
    <w:abstractNumId w:val="16"/>
  </w:num>
  <w:num w:numId="18">
    <w:abstractNumId w:val="5"/>
  </w:num>
  <w:num w:numId="19">
    <w:abstractNumId w:val="23"/>
  </w:num>
  <w:num w:numId="20">
    <w:abstractNumId w:val="0"/>
  </w:num>
  <w:num w:numId="21">
    <w:abstractNumId w:val="19"/>
  </w:num>
  <w:num w:numId="22">
    <w:abstractNumId w:val="41"/>
  </w:num>
  <w:num w:numId="23">
    <w:abstractNumId w:val="48"/>
  </w:num>
  <w:num w:numId="24">
    <w:abstractNumId w:val="38"/>
  </w:num>
  <w:num w:numId="25">
    <w:abstractNumId w:val="17"/>
  </w:num>
  <w:num w:numId="26">
    <w:abstractNumId w:val="4"/>
  </w:num>
  <w:num w:numId="27">
    <w:abstractNumId w:val="13"/>
  </w:num>
  <w:num w:numId="28">
    <w:abstractNumId w:val="15"/>
  </w:num>
  <w:num w:numId="29">
    <w:abstractNumId w:val="18"/>
  </w:num>
  <w:num w:numId="30">
    <w:abstractNumId w:val="14"/>
  </w:num>
  <w:num w:numId="31">
    <w:abstractNumId w:val="33"/>
  </w:num>
  <w:num w:numId="32">
    <w:abstractNumId w:val="27"/>
  </w:num>
  <w:num w:numId="33">
    <w:abstractNumId w:val="8"/>
  </w:num>
  <w:num w:numId="34">
    <w:abstractNumId w:val="20"/>
  </w:num>
  <w:num w:numId="35">
    <w:abstractNumId w:val="32"/>
  </w:num>
  <w:num w:numId="36">
    <w:abstractNumId w:val="21"/>
  </w:num>
  <w:num w:numId="37">
    <w:abstractNumId w:val="45"/>
  </w:num>
  <w:num w:numId="38">
    <w:abstractNumId w:val="3"/>
  </w:num>
  <w:num w:numId="39">
    <w:abstractNumId w:val="11"/>
  </w:num>
  <w:num w:numId="40">
    <w:abstractNumId w:val="34"/>
  </w:num>
  <w:num w:numId="41">
    <w:abstractNumId w:val="22"/>
  </w:num>
  <w:num w:numId="42">
    <w:abstractNumId w:val="12"/>
  </w:num>
  <w:num w:numId="43">
    <w:abstractNumId w:val="43"/>
  </w:num>
  <w:num w:numId="44">
    <w:abstractNumId w:val="26"/>
  </w:num>
  <w:num w:numId="45">
    <w:abstractNumId w:val="1"/>
  </w:num>
  <w:num w:numId="46">
    <w:abstractNumId w:val="30"/>
  </w:num>
  <w:num w:numId="47">
    <w:abstractNumId w:val="42"/>
  </w:num>
  <w:num w:numId="48">
    <w:abstractNumId w:val="0"/>
    <w:lvlOverride w:ilvl="0">
      <w:startOverride w:val="3"/>
    </w:lvlOverride>
  </w:num>
  <w:num w:numId="49">
    <w:abstractNumId w:val="28"/>
  </w:num>
  <w:num w:numId="50">
    <w:abstractNumId w:val="0"/>
    <w:lvlOverride w:ilvl="0">
      <w:startOverride w:val="4"/>
    </w:lvlOverride>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4F"/>
    <w:rsid w:val="00453CB1"/>
    <w:rsid w:val="009E0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D38546D"/>
  <w15:docId w15:val="{4D31124F-E879-4318-9295-E6DB93B8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Heading1"/>
    <w:next w:val="Normal"/>
    <w:link w:val="Heading1Char"/>
    <w:uiPriority w:val="9"/>
    <w:qFormat/>
    <w:pPr>
      <w:outlineLvl w:val="0"/>
    </w:pPr>
    <w:rPr>
      <w:sz w:val="32"/>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Pr>
      <w:rFonts w:eastAsiaTheme="minorEastAsia"/>
      <w:lang w:val="en-US"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BookTitle">
    <w:name w:val="Book Title"/>
    <w:basedOn w:val="DefaultParagraphFont"/>
    <w:uiPriority w:val="33"/>
    <w:qFormat/>
    <w:rPr>
      <w:b/>
      <w:bCs/>
      <w:smallCaps/>
      <w:spacing w:val="5"/>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link w:val="Heading1Char0"/>
    <w:qFormat/>
    <w:pPr>
      <w:numPr>
        <w:numId w:val="20"/>
      </w:numPr>
      <w:spacing w:before="120" w:after="120" w:line="320" w:lineRule="exact"/>
    </w:pPr>
    <w:rPr>
      <w:b/>
    </w:rPr>
  </w:style>
  <w:style w:type="character" w:customStyle="1" w:styleId="Heading2Char">
    <w:name w:val="Heading 2 Char"/>
    <w:basedOn w:val="DefaultParagraphFont"/>
    <w:link w:val="Heading2"/>
    <w:uiPriority w:val="9"/>
    <w:rPr>
      <w:rFonts w:asciiTheme="majorHAnsi" w:eastAsiaTheme="majorEastAsia" w:hAnsiTheme="majorHAnsi" w:cstheme="majorBidi"/>
      <w:bCs/>
      <w:sz w:val="56"/>
      <w:szCs w:val="26"/>
    </w:rPr>
  </w:style>
  <w:style w:type="character" w:customStyle="1" w:styleId="Heading1Char">
    <w:name w:val="Heading 1 Char"/>
    <w:basedOn w:val="DefaultParagraphFont"/>
    <w:link w:val="Heading10"/>
    <w:uiPriority w:val="9"/>
    <w:rPr>
      <w:b/>
      <w:sz w:val="32"/>
    </w:rPr>
  </w:style>
  <w:style w:type="character" w:customStyle="1" w:styleId="Heading1Char0">
    <w:name w:val="Heading1 Char"/>
    <w:basedOn w:val="DefaultParagraphFont"/>
    <w:link w:val="Heading1"/>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7211">
      <w:bodyDiv w:val="1"/>
      <w:marLeft w:val="0"/>
      <w:marRight w:val="0"/>
      <w:marTop w:val="0"/>
      <w:marBottom w:val="0"/>
      <w:divBdr>
        <w:top w:val="none" w:sz="0" w:space="0" w:color="auto"/>
        <w:left w:val="none" w:sz="0" w:space="0" w:color="auto"/>
        <w:bottom w:val="none" w:sz="0" w:space="0" w:color="auto"/>
        <w:right w:val="none" w:sz="0" w:space="0" w:color="auto"/>
      </w:divBdr>
    </w:div>
    <w:div w:id="114368024">
      <w:bodyDiv w:val="1"/>
      <w:marLeft w:val="0"/>
      <w:marRight w:val="0"/>
      <w:marTop w:val="0"/>
      <w:marBottom w:val="0"/>
      <w:divBdr>
        <w:top w:val="none" w:sz="0" w:space="0" w:color="auto"/>
        <w:left w:val="none" w:sz="0" w:space="0" w:color="auto"/>
        <w:bottom w:val="none" w:sz="0" w:space="0" w:color="auto"/>
        <w:right w:val="none" w:sz="0" w:space="0" w:color="auto"/>
      </w:divBdr>
    </w:div>
    <w:div w:id="334387057">
      <w:bodyDiv w:val="1"/>
      <w:marLeft w:val="0"/>
      <w:marRight w:val="0"/>
      <w:marTop w:val="0"/>
      <w:marBottom w:val="0"/>
      <w:divBdr>
        <w:top w:val="none" w:sz="0" w:space="0" w:color="auto"/>
        <w:left w:val="none" w:sz="0" w:space="0" w:color="auto"/>
        <w:bottom w:val="none" w:sz="0" w:space="0" w:color="auto"/>
        <w:right w:val="none" w:sz="0" w:space="0" w:color="auto"/>
      </w:divBdr>
    </w:div>
    <w:div w:id="504562695">
      <w:bodyDiv w:val="1"/>
      <w:marLeft w:val="0"/>
      <w:marRight w:val="0"/>
      <w:marTop w:val="0"/>
      <w:marBottom w:val="0"/>
      <w:divBdr>
        <w:top w:val="none" w:sz="0" w:space="0" w:color="auto"/>
        <w:left w:val="none" w:sz="0" w:space="0" w:color="auto"/>
        <w:bottom w:val="none" w:sz="0" w:space="0" w:color="auto"/>
        <w:right w:val="none" w:sz="0" w:space="0" w:color="auto"/>
      </w:divBdr>
    </w:div>
    <w:div w:id="612521155">
      <w:bodyDiv w:val="1"/>
      <w:marLeft w:val="0"/>
      <w:marRight w:val="0"/>
      <w:marTop w:val="0"/>
      <w:marBottom w:val="0"/>
      <w:divBdr>
        <w:top w:val="none" w:sz="0" w:space="0" w:color="auto"/>
        <w:left w:val="none" w:sz="0" w:space="0" w:color="auto"/>
        <w:bottom w:val="none" w:sz="0" w:space="0" w:color="auto"/>
        <w:right w:val="none" w:sz="0" w:space="0" w:color="auto"/>
      </w:divBdr>
    </w:div>
    <w:div w:id="952446294">
      <w:bodyDiv w:val="1"/>
      <w:marLeft w:val="0"/>
      <w:marRight w:val="0"/>
      <w:marTop w:val="0"/>
      <w:marBottom w:val="0"/>
      <w:divBdr>
        <w:top w:val="none" w:sz="0" w:space="0" w:color="auto"/>
        <w:left w:val="none" w:sz="0" w:space="0" w:color="auto"/>
        <w:bottom w:val="none" w:sz="0" w:space="0" w:color="auto"/>
        <w:right w:val="none" w:sz="0" w:space="0" w:color="auto"/>
      </w:divBdr>
    </w:div>
    <w:div w:id="955409071">
      <w:bodyDiv w:val="1"/>
      <w:marLeft w:val="0"/>
      <w:marRight w:val="0"/>
      <w:marTop w:val="0"/>
      <w:marBottom w:val="0"/>
      <w:divBdr>
        <w:top w:val="none" w:sz="0" w:space="0" w:color="auto"/>
        <w:left w:val="none" w:sz="0" w:space="0" w:color="auto"/>
        <w:bottom w:val="none" w:sz="0" w:space="0" w:color="auto"/>
        <w:right w:val="none" w:sz="0" w:space="0" w:color="auto"/>
      </w:divBdr>
    </w:div>
    <w:div w:id="989402793">
      <w:bodyDiv w:val="1"/>
      <w:marLeft w:val="0"/>
      <w:marRight w:val="0"/>
      <w:marTop w:val="0"/>
      <w:marBottom w:val="0"/>
      <w:divBdr>
        <w:top w:val="none" w:sz="0" w:space="0" w:color="auto"/>
        <w:left w:val="none" w:sz="0" w:space="0" w:color="auto"/>
        <w:bottom w:val="none" w:sz="0" w:space="0" w:color="auto"/>
        <w:right w:val="none" w:sz="0" w:space="0" w:color="auto"/>
      </w:divBdr>
    </w:div>
    <w:div w:id="1079059510">
      <w:bodyDiv w:val="1"/>
      <w:marLeft w:val="0"/>
      <w:marRight w:val="0"/>
      <w:marTop w:val="0"/>
      <w:marBottom w:val="0"/>
      <w:divBdr>
        <w:top w:val="none" w:sz="0" w:space="0" w:color="auto"/>
        <w:left w:val="none" w:sz="0" w:space="0" w:color="auto"/>
        <w:bottom w:val="none" w:sz="0" w:space="0" w:color="auto"/>
        <w:right w:val="none" w:sz="0" w:space="0" w:color="auto"/>
      </w:divBdr>
    </w:div>
    <w:div w:id="1089423949">
      <w:bodyDiv w:val="1"/>
      <w:marLeft w:val="0"/>
      <w:marRight w:val="0"/>
      <w:marTop w:val="0"/>
      <w:marBottom w:val="0"/>
      <w:divBdr>
        <w:top w:val="none" w:sz="0" w:space="0" w:color="auto"/>
        <w:left w:val="none" w:sz="0" w:space="0" w:color="auto"/>
        <w:bottom w:val="none" w:sz="0" w:space="0" w:color="auto"/>
        <w:right w:val="none" w:sz="0" w:space="0" w:color="auto"/>
      </w:divBdr>
    </w:div>
    <w:div w:id="1098714880">
      <w:bodyDiv w:val="1"/>
      <w:marLeft w:val="0"/>
      <w:marRight w:val="0"/>
      <w:marTop w:val="0"/>
      <w:marBottom w:val="0"/>
      <w:divBdr>
        <w:top w:val="none" w:sz="0" w:space="0" w:color="auto"/>
        <w:left w:val="none" w:sz="0" w:space="0" w:color="auto"/>
        <w:bottom w:val="none" w:sz="0" w:space="0" w:color="auto"/>
        <w:right w:val="none" w:sz="0" w:space="0" w:color="auto"/>
      </w:divBdr>
    </w:div>
    <w:div w:id="1353652377">
      <w:bodyDiv w:val="1"/>
      <w:marLeft w:val="0"/>
      <w:marRight w:val="0"/>
      <w:marTop w:val="0"/>
      <w:marBottom w:val="0"/>
      <w:divBdr>
        <w:top w:val="none" w:sz="0" w:space="0" w:color="auto"/>
        <w:left w:val="none" w:sz="0" w:space="0" w:color="auto"/>
        <w:bottom w:val="none" w:sz="0" w:space="0" w:color="auto"/>
        <w:right w:val="none" w:sz="0" w:space="0" w:color="auto"/>
      </w:divBdr>
    </w:div>
    <w:div w:id="1417165761">
      <w:bodyDiv w:val="1"/>
      <w:marLeft w:val="0"/>
      <w:marRight w:val="0"/>
      <w:marTop w:val="0"/>
      <w:marBottom w:val="0"/>
      <w:divBdr>
        <w:top w:val="none" w:sz="0" w:space="0" w:color="auto"/>
        <w:left w:val="none" w:sz="0" w:space="0" w:color="auto"/>
        <w:bottom w:val="none" w:sz="0" w:space="0" w:color="auto"/>
        <w:right w:val="none" w:sz="0" w:space="0" w:color="auto"/>
      </w:divBdr>
    </w:div>
    <w:div w:id="1726641593">
      <w:bodyDiv w:val="1"/>
      <w:marLeft w:val="0"/>
      <w:marRight w:val="0"/>
      <w:marTop w:val="0"/>
      <w:marBottom w:val="0"/>
      <w:divBdr>
        <w:top w:val="none" w:sz="0" w:space="0" w:color="auto"/>
        <w:left w:val="none" w:sz="0" w:space="0" w:color="auto"/>
        <w:bottom w:val="none" w:sz="0" w:space="0" w:color="auto"/>
        <w:right w:val="none" w:sz="0" w:space="0" w:color="auto"/>
      </w:divBdr>
    </w:div>
    <w:div w:id="20684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2013-09-01T00:00:00</PublishDate>
  <Abstract>This model policy should be amended as required to reflect your Academy’s own aims, values, systems and procedures.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539940-57A1-4112-AAAA-05F30962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{Insert Academy Name And Logo Here}</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Kieran Bamford</dc:creator>
  <cp:lastModifiedBy>Wendy Gray</cp:lastModifiedBy>
  <cp:revision>20</cp:revision>
  <cp:lastPrinted>2017-09-29T09:56:00Z</cp:lastPrinted>
  <dcterms:created xsi:type="dcterms:W3CDTF">2017-09-29T09:55:00Z</dcterms:created>
  <dcterms:modified xsi:type="dcterms:W3CDTF">2019-09-04T15:18:00Z</dcterms:modified>
</cp:coreProperties>
</file>